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984D" w14:textId="77777777" w:rsidR="00D7136B" w:rsidRPr="00757442" w:rsidRDefault="00D7136B" w:rsidP="00D7136B">
      <w:pPr>
        <w:spacing w:after="200" w:line="276" w:lineRule="auto"/>
        <w:jc w:val="both"/>
        <w:rPr>
          <w:rFonts w:ascii="Times New Roman" w:eastAsia="Times New Roman" w:hAnsi="Times New Roman" w:cs="Times New Roman"/>
          <w:color w:val="000000" w:themeColor="text1"/>
          <w:lang w:eastAsia="en-GB"/>
        </w:rPr>
      </w:pPr>
      <w:r w:rsidRPr="00757442">
        <w:rPr>
          <w:rFonts w:ascii="Times New Roman" w:eastAsia="Times New Roman" w:hAnsi="Times New Roman" w:cs="Times New Roman"/>
          <w:b/>
          <w:bCs/>
          <w:color w:val="000000" w:themeColor="text1"/>
          <w:sz w:val="32"/>
          <w:szCs w:val="32"/>
          <w:lang w:eastAsia="en-GB"/>
        </w:rPr>
        <w:t>Challenging the Verbal/Non-Verbal Distinction</w:t>
      </w:r>
    </w:p>
    <w:p w14:paraId="1F8C9405" w14:textId="73887B17"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t xml:space="preserve">No </w:t>
      </w:r>
      <w:r w:rsidR="004E4F84">
        <w:rPr>
          <w:rFonts w:ascii="Times New Roman" w:eastAsia="Times New Roman" w:hAnsi="Times New Roman" w:cs="Times New Roman"/>
          <w:color w:val="000000"/>
          <w:lang w:eastAsia="en-GB"/>
        </w:rPr>
        <w:t>understanding</w:t>
      </w:r>
      <w:r w:rsidR="004E4F84" w:rsidRPr="00D7136B">
        <w:rPr>
          <w:rFonts w:ascii="Times New Roman" w:eastAsia="Times New Roman" w:hAnsi="Times New Roman" w:cs="Times New Roman"/>
          <w:color w:val="000000"/>
          <w:lang w:eastAsia="en-GB"/>
        </w:rPr>
        <w:t xml:space="preserve"> </w:t>
      </w:r>
      <w:r w:rsidRPr="00D7136B">
        <w:rPr>
          <w:rFonts w:ascii="Times New Roman" w:eastAsia="Times New Roman" w:hAnsi="Times New Roman" w:cs="Times New Roman"/>
          <w:color w:val="000000"/>
          <w:lang w:eastAsia="en-GB"/>
        </w:rPr>
        <w:t xml:space="preserve">of disagreement is complete before an adequate </w:t>
      </w:r>
      <w:r w:rsidR="004E4F84">
        <w:rPr>
          <w:rFonts w:ascii="Times New Roman" w:eastAsia="Times New Roman" w:hAnsi="Times New Roman" w:cs="Times New Roman"/>
          <w:color w:val="000000"/>
          <w:lang w:eastAsia="en-GB"/>
        </w:rPr>
        <w:t>uncovering and characterization</w:t>
      </w:r>
      <w:r w:rsidR="004E4F84" w:rsidRPr="00D7136B">
        <w:rPr>
          <w:rFonts w:ascii="Times New Roman" w:eastAsia="Times New Roman" w:hAnsi="Times New Roman" w:cs="Times New Roman"/>
          <w:color w:val="000000"/>
          <w:lang w:eastAsia="en-GB"/>
        </w:rPr>
        <w:t xml:space="preserve"> </w:t>
      </w:r>
      <w:r w:rsidRPr="00D7136B">
        <w:rPr>
          <w:rFonts w:ascii="Times New Roman" w:eastAsia="Times New Roman" w:hAnsi="Times New Roman" w:cs="Times New Roman"/>
          <w:color w:val="000000"/>
          <w:lang w:eastAsia="en-GB"/>
        </w:rPr>
        <w:t xml:space="preserve">of </w:t>
      </w:r>
      <w:r w:rsidR="004E4F84">
        <w:rPr>
          <w:rFonts w:ascii="Times New Roman" w:eastAsia="Times New Roman" w:hAnsi="Times New Roman" w:cs="Times New Roman"/>
          <w:color w:val="000000"/>
          <w:lang w:eastAsia="en-GB"/>
        </w:rPr>
        <w:t>the verbal/non-verbal distinction</w:t>
      </w:r>
      <w:r w:rsidRPr="00D7136B">
        <w:rPr>
          <w:rFonts w:ascii="Times New Roman" w:eastAsia="Times New Roman" w:hAnsi="Times New Roman" w:cs="Times New Roman"/>
          <w:color w:val="000000"/>
          <w:lang w:eastAsia="en-GB"/>
        </w:rPr>
        <w:t xml:space="preserve">. Verbal disputes are often invoked to explain defects and obstacles in communication </w:t>
      </w:r>
      <w:r w:rsidR="004E4F84" w:rsidRPr="00D7136B">
        <w:rPr>
          <w:rFonts w:ascii="Times New Roman" w:eastAsia="Times New Roman" w:hAnsi="Times New Roman" w:cs="Times New Roman"/>
          <w:color w:val="000000"/>
          <w:lang w:eastAsia="en-GB"/>
        </w:rPr>
        <w:t>and argumentation</w:t>
      </w:r>
      <w:r w:rsidRPr="00D7136B">
        <w:rPr>
          <w:rFonts w:ascii="Times New Roman" w:eastAsia="Times New Roman" w:hAnsi="Times New Roman" w:cs="Times New Roman"/>
          <w:color w:val="000000"/>
          <w:lang w:eastAsia="en-GB"/>
        </w:rPr>
        <w:t>. Various accounts of the phenomenon, including methods of detection and diagnosis, general strategies for their dissolution, and potential deflationistic consequences have been proposed and debated in the literature, with particular intensity over the last 15 years (Abreu Zavaleta 2020; Balcerak Jackson 2013, 2014; Belleri 2017, 2018, 2020; Cappelen 2018; Chalmers 2011; Cohnitz 2020; Hirsch 2005, 2009; Jenkins 2014; Knoll forthcoming, Krabbe &amp; Van Laar 2019; Ludlow 2014; Rott 2015; Sidelle 2007; Vermeulen 2018).</w:t>
      </w:r>
    </w:p>
    <w:p w14:paraId="6F1759AF" w14:textId="515DBDAD"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t>The basic, intuitive distinction is th</w:t>
      </w:r>
      <w:r w:rsidR="0042151B">
        <w:rPr>
          <w:rFonts w:ascii="Times New Roman" w:eastAsia="Times New Roman" w:hAnsi="Times New Roman" w:cs="Times New Roman"/>
          <w:color w:val="000000"/>
          <w:lang w:eastAsia="en-GB"/>
        </w:rPr>
        <w:t>e one</w:t>
      </w:r>
      <w:r w:rsidRPr="00D7136B">
        <w:rPr>
          <w:rFonts w:ascii="Times New Roman" w:eastAsia="Times New Roman" w:hAnsi="Times New Roman" w:cs="Times New Roman"/>
          <w:color w:val="000000"/>
          <w:lang w:eastAsia="en-GB"/>
        </w:rPr>
        <w:t xml:space="preserve"> between substantive disputes, involving genuine disagreements, and irregular verbal disputes, based not on effectively conflicting views of the world but simply on some divergent uses of words. Whether denounced as ‘defective’ and ‘pointless’ (Chalmers 2011, Hirch 2005, 2009, Sidelle 2007), or rehabilitated as ‘consequential’ and ‘worth having’ (Ludlow 2014; Plunkett 2015; Plunkett &amp; Sundell 2013), the received view is that, in any case, verbal disputes constitute a special class of their own, separate from that of substantive disputes, issuing from different underlying conditions, and admitting, or even demanding, different responses and resolutions.</w:t>
      </w:r>
    </w:p>
    <w:p w14:paraId="6DD86E8E" w14:textId="77777777"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t xml:space="preserve">In this talk, we question the tenability of a robust verbal/non-verbal distinction that (still) includes </w:t>
      </w:r>
      <w:r w:rsidRPr="00D7136B">
        <w:rPr>
          <w:rFonts w:ascii="Times New Roman" w:eastAsia="Times New Roman" w:hAnsi="Times New Roman" w:cs="Times New Roman"/>
          <w:i/>
          <w:iCs/>
          <w:color w:val="000000"/>
          <w:lang w:eastAsia="en-GB"/>
        </w:rPr>
        <w:t>philosophically interesting cases</w:t>
      </w:r>
      <w:r w:rsidRPr="00D7136B">
        <w:rPr>
          <w:rFonts w:ascii="Times New Roman" w:eastAsia="Times New Roman" w:hAnsi="Times New Roman" w:cs="Times New Roman"/>
          <w:color w:val="000000"/>
          <w:lang w:eastAsia="en-GB"/>
        </w:rPr>
        <w:t xml:space="preserve"> — </w:t>
      </w:r>
      <w:proofErr w:type="gramStart"/>
      <w:r w:rsidRPr="00D7136B">
        <w:rPr>
          <w:rFonts w:ascii="Times New Roman" w:eastAsia="Times New Roman" w:hAnsi="Times New Roman" w:cs="Times New Roman"/>
          <w:color w:val="000000"/>
          <w:lang w:eastAsia="en-GB"/>
        </w:rPr>
        <w:t>i.e.</w:t>
      </w:r>
      <w:proofErr w:type="gramEnd"/>
      <w:r w:rsidRPr="00D7136B">
        <w:rPr>
          <w:rFonts w:ascii="Times New Roman" w:eastAsia="Times New Roman" w:hAnsi="Times New Roman" w:cs="Times New Roman"/>
          <w:color w:val="000000"/>
          <w:lang w:eastAsia="en-GB"/>
        </w:rPr>
        <w:t xml:space="preserve"> cases of some minimal persistence and theoretical density, beyond the obvious equivocation or malapropism — on the </w:t>
      </w:r>
      <w:r w:rsidRPr="00D7136B">
        <w:rPr>
          <w:rFonts w:ascii="Times New Roman" w:eastAsia="Times New Roman" w:hAnsi="Times New Roman" w:cs="Times New Roman"/>
          <w:i/>
          <w:iCs/>
          <w:color w:val="000000"/>
          <w:lang w:eastAsia="en-GB"/>
        </w:rPr>
        <w:t>verbal</w:t>
      </w:r>
      <w:r w:rsidRPr="00D7136B">
        <w:rPr>
          <w:rFonts w:ascii="Times New Roman" w:eastAsia="Times New Roman" w:hAnsi="Times New Roman" w:cs="Times New Roman"/>
          <w:color w:val="000000"/>
          <w:lang w:eastAsia="en-GB"/>
        </w:rPr>
        <w:t xml:space="preserve"> side of the divide.</w:t>
      </w:r>
    </w:p>
    <w:p w14:paraId="231631A7" w14:textId="42AF3D16"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t>Close inspection of a paradigmatic example of a seemingly verbal dispute, the ‘lie’ case in Chalmers (2011), allows us to test and find faults with the three most important (type</w:t>
      </w:r>
      <w:r w:rsidR="004E4F84">
        <w:rPr>
          <w:rFonts w:ascii="Times New Roman" w:eastAsia="Times New Roman" w:hAnsi="Times New Roman" w:cs="Times New Roman"/>
          <w:color w:val="000000"/>
          <w:lang w:eastAsia="en-GB"/>
        </w:rPr>
        <w:t>s</w:t>
      </w:r>
      <w:r w:rsidRPr="00D7136B">
        <w:rPr>
          <w:rFonts w:ascii="Times New Roman" w:eastAsia="Times New Roman" w:hAnsi="Times New Roman" w:cs="Times New Roman"/>
          <w:color w:val="000000"/>
          <w:lang w:eastAsia="en-GB"/>
        </w:rPr>
        <w:t xml:space="preserve"> of) criteria of </w:t>
      </w:r>
      <w:r w:rsidRPr="00D7136B">
        <w:rPr>
          <w:rFonts w:ascii="Times New Roman" w:eastAsia="Times New Roman" w:hAnsi="Times New Roman" w:cs="Times New Roman"/>
          <w:i/>
          <w:iCs/>
          <w:color w:val="000000"/>
          <w:lang w:eastAsia="en-GB"/>
        </w:rPr>
        <w:t>verbalness</w:t>
      </w:r>
      <w:r w:rsidRPr="00D7136B">
        <w:rPr>
          <w:rFonts w:ascii="Times New Roman" w:eastAsia="Times New Roman" w:hAnsi="Times New Roman" w:cs="Times New Roman"/>
          <w:color w:val="000000"/>
          <w:lang w:eastAsia="en-GB"/>
        </w:rPr>
        <w:t xml:space="preserve"> available in the literature: a dispute counts as verbal iff </w:t>
      </w:r>
    </w:p>
    <w:p w14:paraId="257B9515" w14:textId="77777777" w:rsidR="00D7136B" w:rsidRPr="00D7136B" w:rsidRDefault="00D7136B" w:rsidP="00D7136B">
      <w:pPr>
        <w:numPr>
          <w:ilvl w:val="0"/>
          <w:numId w:val="1"/>
        </w:numPr>
        <w:spacing w:line="276" w:lineRule="auto"/>
        <w:ind w:left="709" w:hanging="425"/>
        <w:jc w:val="both"/>
        <w:textAlignment w:val="baseline"/>
        <w:rPr>
          <w:rFonts w:ascii="Times New Roman" w:eastAsia="Times New Roman" w:hAnsi="Times New Roman" w:cs="Times New Roman"/>
          <w:color w:val="000000"/>
          <w:lang w:eastAsia="en-GB"/>
        </w:rPr>
      </w:pPr>
      <w:r w:rsidRPr="00D7136B">
        <w:rPr>
          <w:rFonts w:ascii="Times New Roman" w:eastAsia="Times New Roman" w:hAnsi="Times New Roman" w:cs="Times New Roman"/>
          <w:color w:val="000000"/>
          <w:lang w:eastAsia="en-GB"/>
        </w:rPr>
        <w:t>it counterfactually correlates with a disagreement over some meaning (Chalmers 2011</w:t>
      </w:r>
      <w:proofErr w:type="gramStart"/>
      <w:r w:rsidRPr="00D7136B">
        <w:rPr>
          <w:rFonts w:ascii="Times New Roman" w:eastAsia="Times New Roman" w:hAnsi="Times New Roman" w:cs="Times New Roman"/>
          <w:color w:val="000000"/>
          <w:lang w:eastAsia="en-GB"/>
        </w:rPr>
        <w:t>);</w:t>
      </w:r>
      <w:proofErr w:type="gramEnd"/>
    </w:p>
    <w:p w14:paraId="11131010" w14:textId="77777777" w:rsidR="00D7136B" w:rsidRPr="00D7136B" w:rsidRDefault="00D7136B" w:rsidP="00D7136B">
      <w:pPr>
        <w:numPr>
          <w:ilvl w:val="0"/>
          <w:numId w:val="1"/>
        </w:numPr>
        <w:spacing w:line="276" w:lineRule="auto"/>
        <w:ind w:left="709" w:hanging="425"/>
        <w:jc w:val="both"/>
        <w:textAlignment w:val="baseline"/>
        <w:rPr>
          <w:rFonts w:ascii="Times New Roman" w:eastAsia="Times New Roman" w:hAnsi="Times New Roman" w:cs="Times New Roman"/>
          <w:color w:val="000000"/>
          <w:lang w:eastAsia="en-GB"/>
        </w:rPr>
      </w:pPr>
      <w:r w:rsidRPr="00D7136B">
        <w:rPr>
          <w:rFonts w:ascii="Times New Roman" w:eastAsia="Times New Roman" w:hAnsi="Times New Roman" w:cs="Times New Roman"/>
          <w:color w:val="000000"/>
          <w:lang w:eastAsia="en-GB"/>
        </w:rPr>
        <w:t>each party in the dispute ought to "agree that the other party speaks the truth in its own language” (Hirsch 2009, 2005</w:t>
      </w:r>
      <w:proofErr w:type="gramStart"/>
      <w:r w:rsidRPr="00D7136B">
        <w:rPr>
          <w:rFonts w:ascii="Times New Roman" w:eastAsia="Times New Roman" w:hAnsi="Times New Roman" w:cs="Times New Roman"/>
          <w:color w:val="000000"/>
          <w:lang w:eastAsia="en-GB"/>
        </w:rPr>
        <w:t>);</w:t>
      </w:r>
      <w:proofErr w:type="gramEnd"/>
    </w:p>
    <w:p w14:paraId="235BE997" w14:textId="77777777" w:rsidR="00D7136B" w:rsidRPr="00D7136B" w:rsidRDefault="00D7136B" w:rsidP="00D7136B">
      <w:pPr>
        <w:numPr>
          <w:ilvl w:val="0"/>
          <w:numId w:val="1"/>
        </w:numPr>
        <w:spacing w:after="200" w:line="276" w:lineRule="auto"/>
        <w:ind w:left="709" w:hanging="425"/>
        <w:jc w:val="both"/>
        <w:textAlignment w:val="baseline"/>
        <w:rPr>
          <w:rFonts w:ascii="Times New Roman" w:eastAsia="Times New Roman" w:hAnsi="Times New Roman" w:cs="Times New Roman"/>
          <w:color w:val="000000"/>
          <w:lang w:eastAsia="en-GB"/>
        </w:rPr>
      </w:pPr>
      <w:r w:rsidRPr="00D7136B">
        <w:rPr>
          <w:rFonts w:ascii="Times New Roman" w:eastAsia="Times New Roman" w:hAnsi="Times New Roman" w:cs="Times New Roman"/>
          <w:color w:val="000000"/>
          <w:lang w:eastAsia="en-GB"/>
        </w:rPr>
        <w:t>it involves some divergence over meanings but no relevant genuine object-level disagreement. (Belleri 2018, Chalmers 2011, Jenkins 2014, Vermeulen 2018</w:t>
      </w:r>
      <w:proofErr w:type="gramStart"/>
      <w:r w:rsidRPr="00D7136B">
        <w:rPr>
          <w:rFonts w:ascii="Times New Roman" w:eastAsia="Times New Roman" w:hAnsi="Times New Roman" w:cs="Times New Roman"/>
          <w:color w:val="000000"/>
          <w:lang w:eastAsia="en-GB"/>
        </w:rPr>
        <w:t>);</w:t>
      </w:r>
      <w:proofErr w:type="gramEnd"/>
    </w:p>
    <w:p w14:paraId="181D0D0A" w14:textId="77777777"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t xml:space="preserve">Against the unanimous verdict of all three criteria — </w:t>
      </w:r>
      <w:r w:rsidRPr="00D7136B">
        <w:rPr>
          <w:rFonts w:ascii="Times New Roman" w:eastAsia="Times New Roman" w:hAnsi="Times New Roman" w:cs="Times New Roman"/>
          <w:i/>
          <w:iCs/>
          <w:color w:val="000000"/>
          <w:lang w:eastAsia="en-GB"/>
        </w:rPr>
        <w:t>verbal dispute</w:t>
      </w:r>
      <w:r w:rsidRPr="00D7136B">
        <w:rPr>
          <w:rFonts w:ascii="Times New Roman" w:eastAsia="Times New Roman" w:hAnsi="Times New Roman" w:cs="Times New Roman"/>
          <w:color w:val="000000"/>
          <w:lang w:eastAsia="en-GB"/>
        </w:rPr>
        <w:t xml:space="preserve"> —, we offer a plausible development of our initial example that reveals it as effectively harbouring the presence of a substantive divergence and genuine disagreement. By abstracting and generalizing the decisive features of the example, we argue that the criteria are equally inadequately porous when dealing with numerous philosophically interesting cases, unduly counting such discussions as verbal disputes without a proper justification. Furthermore, we consider the prospects of refinement, revision or strengthening of the criteria and expose our reasons for believing that no suitably improved substitute is forthcoming.</w:t>
      </w:r>
    </w:p>
    <w:p w14:paraId="2D8A018A" w14:textId="77777777"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lastRenderedPageBreak/>
        <w:t xml:space="preserve">We conclude by proposing that the conception of the verbal/non-verbal distinction as a robust, </w:t>
      </w:r>
      <w:proofErr w:type="gramStart"/>
      <w:r w:rsidRPr="00D7136B">
        <w:rPr>
          <w:rFonts w:ascii="Times New Roman" w:eastAsia="Times New Roman" w:hAnsi="Times New Roman" w:cs="Times New Roman"/>
          <w:color w:val="000000"/>
          <w:lang w:eastAsia="en-GB"/>
        </w:rPr>
        <w:t>principled</w:t>
      </w:r>
      <w:proofErr w:type="gramEnd"/>
      <w:r w:rsidRPr="00D7136B">
        <w:rPr>
          <w:rFonts w:ascii="Times New Roman" w:eastAsia="Times New Roman" w:hAnsi="Times New Roman" w:cs="Times New Roman"/>
          <w:color w:val="000000"/>
          <w:lang w:eastAsia="en-GB"/>
        </w:rPr>
        <w:t xml:space="preserve"> and objective separation of cases be abandoned. A pragmatic distinction — one that is context sensitive, interest driven, and partially arbitrary — is what we need and </w:t>
      </w:r>
      <w:proofErr w:type="gramStart"/>
      <w:r w:rsidRPr="00D7136B">
        <w:rPr>
          <w:rFonts w:ascii="Times New Roman" w:eastAsia="Times New Roman" w:hAnsi="Times New Roman" w:cs="Times New Roman"/>
          <w:color w:val="000000"/>
          <w:lang w:eastAsia="en-GB"/>
        </w:rPr>
        <w:t>actually employ</w:t>
      </w:r>
      <w:proofErr w:type="gramEnd"/>
      <w:r w:rsidRPr="00D7136B">
        <w:rPr>
          <w:rFonts w:ascii="Times New Roman" w:eastAsia="Times New Roman" w:hAnsi="Times New Roman" w:cs="Times New Roman"/>
          <w:color w:val="000000"/>
          <w:lang w:eastAsia="en-GB"/>
        </w:rPr>
        <w:t xml:space="preserve"> in our ordinary judgments of verbalness.</w:t>
      </w:r>
    </w:p>
    <w:p w14:paraId="2269DADC" w14:textId="77777777" w:rsidR="00D7136B" w:rsidRPr="00D7136B" w:rsidRDefault="00D7136B" w:rsidP="00D7136B">
      <w:pPr>
        <w:spacing w:line="276" w:lineRule="auto"/>
        <w:rPr>
          <w:rFonts w:ascii="Times New Roman" w:eastAsia="Times New Roman" w:hAnsi="Times New Roman" w:cs="Times New Roman"/>
          <w:lang w:eastAsia="en-GB"/>
        </w:rPr>
      </w:pPr>
    </w:p>
    <w:p w14:paraId="51FDE796" w14:textId="77777777" w:rsidR="00D7136B" w:rsidRPr="00D7136B" w:rsidRDefault="00D7136B" w:rsidP="00D7136B">
      <w:pPr>
        <w:spacing w:after="200" w:line="276" w:lineRule="auto"/>
        <w:jc w:val="both"/>
        <w:rPr>
          <w:rFonts w:ascii="Times New Roman" w:eastAsia="Times New Roman" w:hAnsi="Times New Roman" w:cs="Times New Roman"/>
          <w:lang w:eastAsia="en-GB"/>
        </w:rPr>
      </w:pPr>
      <w:r w:rsidRPr="00D7136B">
        <w:rPr>
          <w:rFonts w:ascii="Times New Roman" w:eastAsia="Times New Roman" w:hAnsi="Times New Roman" w:cs="Times New Roman"/>
          <w:color w:val="000000"/>
          <w:lang w:eastAsia="en-GB"/>
        </w:rPr>
        <w:t>References</w:t>
      </w:r>
    </w:p>
    <w:p w14:paraId="20D7E8C5" w14:textId="77777777" w:rsidR="006B6541" w:rsidRPr="006B6541" w:rsidRDefault="00D7136B" w:rsidP="006B6541">
      <w:pPr>
        <w:spacing w:after="200" w:line="276" w:lineRule="auto"/>
        <w:rPr>
          <w:rFonts w:ascii="Times New Roman" w:eastAsia="Times New Roman" w:hAnsi="Times New Roman" w:cs="Times New Roman"/>
          <w:color w:val="000000"/>
          <w:sz w:val="20"/>
          <w:szCs w:val="20"/>
          <w:lang w:eastAsia="en-GB"/>
        </w:rPr>
      </w:pPr>
      <w:r w:rsidRPr="00D7136B">
        <w:rPr>
          <w:rFonts w:ascii="Times New Roman" w:eastAsia="Times New Roman" w:hAnsi="Times New Roman" w:cs="Times New Roman"/>
          <w:color w:val="000000"/>
          <w:sz w:val="20"/>
          <w:szCs w:val="20"/>
          <w:lang w:eastAsia="en-GB"/>
        </w:rPr>
        <w:t>​​</w:t>
      </w:r>
      <w:r w:rsidR="006B6541" w:rsidRPr="006B6541">
        <w:rPr>
          <w:rFonts w:ascii="Times New Roman" w:eastAsia="Times New Roman" w:hAnsi="Times New Roman" w:cs="Times New Roman"/>
          <w:color w:val="000000"/>
          <w:sz w:val="20"/>
          <w:szCs w:val="20"/>
          <w:lang w:eastAsia="en-GB"/>
        </w:rPr>
        <w:t xml:space="preserve">Abreu Zavaleta, M. (2020). Disagreement lost. </w:t>
      </w:r>
      <w:r w:rsidR="006B6541" w:rsidRPr="006B6541">
        <w:rPr>
          <w:rFonts w:ascii="Times New Roman" w:eastAsia="Times New Roman" w:hAnsi="Times New Roman" w:cs="Times New Roman"/>
          <w:i/>
          <w:iCs/>
          <w:color w:val="000000"/>
          <w:sz w:val="20"/>
          <w:szCs w:val="20"/>
          <w:lang w:eastAsia="en-GB"/>
        </w:rPr>
        <w:t>Synthese</w:t>
      </w:r>
      <w:r w:rsidR="006B6541" w:rsidRPr="006B6541">
        <w:rPr>
          <w:rFonts w:ascii="Times New Roman" w:eastAsia="Times New Roman" w:hAnsi="Times New Roman" w:cs="Times New Roman"/>
          <w:color w:val="000000"/>
          <w:sz w:val="20"/>
          <w:szCs w:val="20"/>
          <w:lang w:eastAsia="en-GB"/>
        </w:rPr>
        <w:t xml:space="preserve">. </w:t>
      </w:r>
      <w:hyperlink r:id="rId5" w:history="1">
        <w:r w:rsidR="006B6541" w:rsidRPr="006B6541">
          <w:rPr>
            <w:rStyle w:val="Hyperlink"/>
            <w:rFonts w:ascii="Times New Roman" w:eastAsia="Times New Roman" w:hAnsi="Times New Roman" w:cs="Times New Roman"/>
            <w:sz w:val="20"/>
            <w:szCs w:val="20"/>
            <w:lang w:eastAsia="en-GB"/>
          </w:rPr>
          <w:t>https://doi.org/10.1007/s11229-020-02866-y</w:t>
        </w:r>
      </w:hyperlink>
    </w:p>
    <w:p w14:paraId="160984B8"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Balcerak Jackson, B. (2013). Metaphysics, Verbal </w:t>
      </w:r>
      <w:proofErr w:type="gramStart"/>
      <w:r w:rsidRPr="006B6541">
        <w:rPr>
          <w:rFonts w:ascii="Times New Roman" w:eastAsia="Times New Roman" w:hAnsi="Times New Roman" w:cs="Times New Roman"/>
          <w:color w:val="000000"/>
          <w:sz w:val="20"/>
          <w:szCs w:val="20"/>
          <w:lang w:eastAsia="en-GB"/>
        </w:rPr>
        <w:t>Disputes</w:t>
      </w:r>
      <w:proofErr w:type="gramEnd"/>
      <w:r w:rsidRPr="006B6541">
        <w:rPr>
          <w:rFonts w:ascii="Times New Roman" w:eastAsia="Times New Roman" w:hAnsi="Times New Roman" w:cs="Times New Roman"/>
          <w:color w:val="000000"/>
          <w:sz w:val="20"/>
          <w:szCs w:val="20"/>
          <w:lang w:eastAsia="en-GB"/>
        </w:rPr>
        <w:t xml:space="preserve"> and the Limits of Charity. </w:t>
      </w:r>
      <w:r w:rsidRPr="006B6541">
        <w:rPr>
          <w:rFonts w:ascii="Times New Roman" w:eastAsia="Times New Roman" w:hAnsi="Times New Roman" w:cs="Times New Roman"/>
          <w:i/>
          <w:iCs/>
          <w:color w:val="000000"/>
          <w:sz w:val="20"/>
          <w:szCs w:val="20"/>
          <w:lang w:eastAsia="en-GB"/>
        </w:rPr>
        <w:t>Philosophy and Phenomenological Research</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86</w:t>
      </w:r>
      <w:r w:rsidRPr="006B6541">
        <w:rPr>
          <w:rFonts w:ascii="Times New Roman" w:eastAsia="Times New Roman" w:hAnsi="Times New Roman" w:cs="Times New Roman"/>
          <w:color w:val="000000"/>
          <w:sz w:val="20"/>
          <w:szCs w:val="20"/>
          <w:lang w:eastAsia="en-GB"/>
        </w:rPr>
        <w:t xml:space="preserve">(2), 412–434. </w:t>
      </w:r>
      <w:hyperlink r:id="rId6" w:history="1">
        <w:r w:rsidRPr="006B6541">
          <w:rPr>
            <w:rStyle w:val="Hyperlink"/>
            <w:rFonts w:ascii="Times New Roman" w:eastAsia="Times New Roman" w:hAnsi="Times New Roman" w:cs="Times New Roman"/>
            <w:sz w:val="20"/>
            <w:szCs w:val="20"/>
            <w:lang w:eastAsia="en-GB"/>
          </w:rPr>
          <w:t>https://doi.org/10.1111/j.1933-1592.2011.00569.x</w:t>
        </w:r>
      </w:hyperlink>
    </w:p>
    <w:p w14:paraId="06353CB9"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Balcerak Jackson, B. (2014). Verbal Disputes and Substantiveness. </w:t>
      </w:r>
      <w:r w:rsidRPr="006B6541">
        <w:rPr>
          <w:rFonts w:ascii="Times New Roman" w:eastAsia="Times New Roman" w:hAnsi="Times New Roman" w:cs="Times New Roman"/>
          <w:i/>
          <w:iCs/>
          <w:color w:val="000000"/>
          <w:sz w:val="20"/>
          <w:szCs w:val="20"/>
          <w:lang w:eastAsia="en-GB"/>
        </w:rPr>
        <w:t>Erkenntnis</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79</w:t>
      </w:r>
      <w:r w:rsidRPr="006B6541">
        <w:rPr>
          <w:rFonts w:ascii="Times New Roman" w:eastAsia="Times New Roman" w:hAnsi="Times New Roman" w:cs="Times New Roman"/>
          <w:color w:val="000000"/>
          <w:sz w:val="20"/>
          <w:szCs w:val="20"/>
          <w:lang w:eastAsia="en-GB"/>
        </w:rPr>
        <w:t xml:space="preserve">(S1), 31–54. </w:t>
      </w:r>
      <w:hyperlink r:id="rId7" w:history="1">
        <w:r w:rsidRPr="006B6541">
          <w:rPr>
            <w:rStyle w:val="Hyperlink"/>
            <w:rFonts w:ascii="Times New Roman" w:eastAsia="Times New Roman" w:hAnsi="Times New Roman" w:cs="Times New Roman"/>
            <w:sz w:val="20"/>
            <w:szCs w:val="20"/>
            <w:lang w:eastAsia="en-GB"/>
          </w:rPr>
          <w:t>https://doi.org/10.1007/s10670-013-9444-5</w:t>
        </w:r>
      </w:hyperlink>
    </w:p>
    <w:p w14:paraId="43672953"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Belleri, D. (2017). Verbalism and Metalinguistic Negotiation in Ontological Disputes. </w:t>
      </w:r>
      <w:r w:rsidRPr="006B6541">
        <w:rPr>
          <w:rFonts w:ascii="Times New Roman" w:eastAsia="Times New Roman" w:hAnsi="Times New Roman" w:cs="Times New Roman"/>
          <w:i/>
          <w:iCs/>
          <w:color w:val="000000"/>
          <w:sz w:val="20"/>
          <w:szCs w:val="20"/>
          <w:lang w:eastAsia="en-GB"/>
        </w:rPr>
        <w:t>Philosophical Studies</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174</w:t>
      </w:r>
      <w:r w:rsidRPr="006B6541">
        <w:rPr>
          <w:rFonts w:ascii="Times New Roman" w:eastAsia="Times New Roman" w:hAnsi="Times New Roman" w:cs="Times New Roman"/>
          <w:color w:val="000000"/>
          <w:sz w:val="20"/>
          <w:szCs w:val="20"/>
          <w:lang w:eastAsia="en-GB"/>
        </w:rPr>
        <w:t xml:space="preserve">(9), 2211–2226. </w:t>
      </w:r>
      <w:hyperlink r:id="rId8" w:history="1">
        <w:r w:rsidRPr="006B6541">
          <w:rPr>
            <w:rStyle w:val="Hyperlink"/>
            <w:rFonts w:ascii="Times New Roman" w:eastAsia="Times New Roman" w:hAnsi="Times New Roman" w:cs="Times New Roman"/>
            <w:sz w:val="20"/>
            <w:szCs w:val="20"/>
            <w:lang w:eastAsia="en-GB"/>
          </w:rPr>
          <w:t>https://doi.org/10.1007/s11098-016-0795-z</w:t>
        </w:r>
      </w:hyperlink>
    </w:p>
    <w:p w14:paraId="67A91DC1"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Belleri, D. (2018). Two Species of Merely Verbal Disputes. </w:t>
      </w:r>
      <w:r w:rsidRPr="006B6541">
        <w:rPr>
          <w:rFonts w:ascii="Times New Roman" w:eastAsia="Times New Roman" w:hAnsi="Times New Roman" w:cs="Times New Roman"/>
          <w:i/>
          <w:iCs/>
          <w:color w:val="000000"/>
          <w:sz w:val="20"/>
          <w:szCs w:val="20"/>
          <w:lang w:eastAsia="en-GB"/>
        </w:rPr>
        <w:t>Metaphilosophy</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49</w:t>
      </w:r>
      <w:r w:rsidRPr="006B6541">
        <w:rPr>
          <w:rFonts w:ascii="Times New Roman" w:eastAsia="Times New Roman" w:hAnsi="Times New Roman" w:cs="Times New Roman"/>
          <w:color w:val="000000"/>
          <w:sz w:val="20"/>
          <w:szCs w:val="20"/>
          <w:lang w:eastAsia="en-GB"/>
        </w:rPr>
        <w:t xml:space="preserve">(5), 691–710. </w:t>
      </w:r>
      <w:hyperlink r:id="rId9" w:history="1">
        <w:r w:rsidRPr="006B6541">
          <w:rPr>
            <w:rStyle w:val="Hyperlink"/>
            <w:rFonts w:ascii="Times New Roman" w:eastAsia="Times New Roman" w:hAnsi="Times New Roman" w:cs="Times New Roman"/>
            <w:sz w:val="20"/>
            <w:szCs w:val="20"/>
            <w:lang w:eastAsia="en-GB"/>
          </w:rPr>
          <w:t>https://doi.org/10.1111/meta.12335</w:t>
        </w:r>
      </w:hyperlink>
    </w:p>
    <w:p w14:paraId="5DE775B0"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Belleri, D. (2020). Minimal Substantivity. In H. Cappelen, D. Plunkett, &amp; A. Burgess (Eds.), </w:t>
      </w:r>
      <w:r w:rsidRPr="006B6541">
        <w:rPr>
          <w:rFonts w:ascii="Times New Roman" w:eastAsia="Times New Roman" w:hAnsi="Times New Roman" w:cs="Times New Roman"/>
          <w:i/>
          <w:iCs/>
          <w:color w:val="000000"/>
          <w:sz w:val="20"/>
          <w:szCs w:val="20"/>
          <w:lang w:eastAsia="en-GB"/>
        </w:rPr>
        <w:t>Conceptual Engineering and Conceptual Ethics</w:t>
      </w:r>
      <w:r w:rsidRPr="006B6541">
        <w:rPr>
          <w:rFonts w:ascii="Times New Roman" w:eastAsia="Times New Roman" w:hAnsi="Times New Roman" w:cs="Times New Roman"/>
          <w:color w:val="000000"/>
          <w:sz w:val="20"/>
          <w:szCs w:val="20"/>
          <w:lang w:eastAsia="en-GB"/>
        </w:rPr>
        <w:t>. Oxford: Oxford University Press.</w:t>
      </w:r>
    </w:p>
    <w:p w14:paraId="139AD574"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Chalmers, D. J. (2011). Verbal Disputes. </w:t>
      </w:r>
      <w:r w:rsidRPr="006B6541">
        <w:rPr>
          <w:rFonts w:ascii="Times New Roman" w:eastAsia="Times New Roman" w:hAnsi="Times New Roman" w:cs="Times New Roman"/>
          <w:i/>
          <w:iCs/>
          <w:color w:val="000000"/>
          <w:sz w:val="20"/>
          <w:szCs w:val="20"/>
          <w:lang w:eastAsia="en-GB"/>
        </w:rPr>
        <w:t>Philosophical Review</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120</w:t>
      </w:r>
      <w:r w:rsidRPr="006B6541">
        <w:rPr>
          <w:rFonts w:ascii="Times New Roman" w:eastAsia="Times New Roman" w:hAnsi="Times New Roman" w:cs="Times New Roman"/>
          <w:color w:val="000000"/>
          <w:sz w:val="20"/>
          <w:szCs w:val="20"/>
          <w:lang w:eastAsia="en-GB"/>
        </w:rPr>
        <w:t xml:space="preserve">(4), 515–566. </w:t>
      </w:r>
      <w:hyperlink r:id="rId10" w:history="1">
        <w:r w:rsidRPr="006B6541">
          <w:rPr>
            <w:rStyle w:val="Hyperlink"/>
            <w:rFonts w:ascii="Times New Roman" w:eastAsia="Times New Roman" w:hAnsi="Times New Roman" w:cs="Times New Roman"/>
            <w:sz w:val="20"/>
            <w:szCs w:val="20"/>
            <w:lang w:eastAsia="en-GB"/>
          </w:rPr>
          <w:t>https://doi.org/10.1215/00318108-1334478</w:t>
        </w:r>
      </w:hyperlink>
    </w:p>
    <w:p w14:paraId="2F0A365A" w14:textId="53E4AD19" w:rsidR="00CD6153" w:rsidRPr="00CD6153" w:rsidRDefault="00CD6153" w:rsidP="00CD6153">
      <w:pPr>
        <w:spacing w:after="240" w:line="276" w:lineRule="auto"/>
        <w:rPr>
          <w:rFonts w:ascii="Times New Roman" w:hAnsi="Times New Roman" w:cs="Times New Roman"/>
          <w:sz w:val="21"/>
          <w:szCs w:val="21"/>
          <w:lang w:val="pt-PT"/>
        </w:rPr>
      </w:pPr>
      <w:r w:rsidRPr="00CD6153">
        <w:rPr>
          <w:rFonts w:ascii="Times New Roman" w:hAnsi="Times New Roman" w:cs="Times New Roman"/>
          <w:sz w:val="21"/>
          <w:szCs w:val="21"/>
        </w:rPr>
        <w:t xml:space="preserve">Cohnitz, D. (2020). Verbal Disputes and Deep Conceptual Disagreements. </w:t>
      </w:r>
      <w:r w:rsidRPr="00CD6153">
        <w:rPr>
          <w:rFonts w:ascii="Times New Roman" w:hAnsi="Times New Roman" w:cs="Times New Roman"/>
          <w:i/>
          <w:iCs/>
          <w:sz w:val="21"/>
          <w:szCs w:val="21"/>
          <w:lang w:val="pt-PT"/>
        </w:rPr>
        <w:t>TRAMES</w:t>
      </w:r>
      <w:r w:rsidRPr="00CD6153">
        <w:rPr>
          <w:rFonts w:ascii="Times New Roman" w:hAnsi="Times New Roman" w:cs="Times New Roman"/>
          <w:sz w:val="21"/>
          <w:szCs w:val="21"/>
          <w:lang w:val="pt-PT"/>
        </w:rPr>
        <w:t xml:space="preserve">, </w:t>
      </w:r>
      <w:r w:rsidRPr="00CD6153">
        <w:rPr>
          <w:rFonts w:ascii="Times New Roman" w:hAnsi="Times New Roman" w:cs="Times New Roman"/>
          <w:i/>
          <w:iCs/>
          <w:sz w:val="21"/>
          <w:szCs w:val="21"/>
          <w:lang w:val="pt-PT"/>
        </w:rPr>
        <w:t>24(74/</w:t>
      </w:r>
      <w:proofErr w:type="gramStart"/>
      <w:r w:rsidRPr="00CD6153">
        <w:rPr>
          <w:rFonts w:ascii="Times New Roman" w:hAnsi="Times New Roman" w:cs="Times New Roman"/>
          <w:i/>
          <w:iCs/>
          <w:sz w:val="21"/>
          <w:szCs w:val="21"/>
          <w:lang w:val="pt-PT"/>
        </w:rPr>
        <w:t>69)</w:t>
      </w:r>
      <w:r w:rsidRPr="00CD6153">
        <w:rPr>
          <w:rFonts w:ascii="Times New Roman" w:hAnsi="Times New Roman" w:cs="Times New Roman"/>
          <w:sz w:val="21"/>
          <w:szCs w:val="21"/>
          <w:lang w:val="pt-PT"/>
        </w:rPr>
        <w:t>(</w:t>
      </w:r>
      <w:proofErr w:type="gramEnd"/>
      <w:r w:rsidRPr="00CD6153">
        <w:rPr>
          <w:rFonts w:ascii="Times New Roman" w:hAnsi="Times New Roman" w:cs="Times New Roman"/>
          <w:sz w:val="21"/>
          <w:szCs w:val="21"/>
          <w:lang w:val="pt-PT"/>
        </w:rPr>
        <w:t xml:space="preserve">3), 279–294. </w:t>
      </w:r>
      <w:hyperlink r:id="rId11" w:history="1">
        <w:proofErr w:type="spellStart"/>
        <w:r w:rsidRPr="00CD6153">
          <w:rPr>
            <w:rStyle w:val="Hyperlink"/>
            <w:rFonts w:ascii="Times New Roman" w:hAnsi="Times New Roman" w:cs="Times New Roman"/>
            <w:sz w:val="21"/>
            <w:szCs w:val="21"/>
            <w:lang w:val="pt-PT"/>
          </w:rPr>
          <w:t>https</w:t>
        </w:r>
        <w:proofErr w:type="spellEnd"/>
        <w:r w:rsidRPr="00CD6153">
          <w:rPr>
            <w:rStyle w:val="Hyperlink"/>
            <w:rFonts w:ascii="Times New Roman" w:hAnsi="Times New Roman" w:cs="Times New Roman"/>
            <w:sz w:val="21"/>
            <w:szCs w:val="21"/>
            <w:lang w:val="pt-PT"/>
          </w:rPr>
          <w:t>//doi.org/10.3176/tr.2020.3.02</w:t>
        </w:r>
      </w:hyperlink>
    </w:p>
    <w:p w14:paraId="0D9A5F33"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proofErr w:type="spellStart"/>
      <w:r w:rsidRPr="00757442">
        <w:rPr>
          <w:rFonts w:ascii="Times New Roman" w:eastAsia="Times New Roman" w:hAnsi="Times New Roman" w:cs="Times New Roman"/>
          <w:color w:val="000000"/>
          <w:sz w:val="20"/>
          <w:szCs w:val="20"/>
          <w:lang w:val="pt-PT" w:eastAsia="en-GB"/>
        </w:rPr>
        <w:t>Hirsch</w:t>
      </w:r>
      <w:proofErr w:type="spellEnd"/>
      <w:r w:rsidRPr="00757442">
        <w:rPr>
          <w:rFonts w:ascii="Times New Roman" w:eastAsia="Times New Roman" w:hAnsi="Times New Roman" w:cs="Times New Roman"/>
          <w:color w:val="000000"/>
          <w:sz w:val="20"/>
          <w:szCs w:val="20"/>
          <w:lang w:val="pt-PT" w:eastAsia="en-GB"/>
        </w:rPr>
        <w:t xml:space="preserve">, E. (2005). </w:t>
      </w:r>
      <w:r w:rsidRPr="006B6541">
        <w:rPr>
          <w:rFonts w:ascii="Times New Roman" w:eastAsia="Times New Roman" w:hAnsi="Times New Roman" w:cs="Times New Roman"/>
          <w:color w:val="000000"/>
          <w:sz w:val="20"/>
          <w:szCs w:val="20"/>
          <w:lang w:eastAsia="en-GB"/>
        </w:rPr>
        <w:t xml:space="preserve">Physical-Object Ontology, Verbal Disputes, and Common Sense. </w:t>
      </w:r>
      <w:r w:rsidRPr="006B6541">
        <w:rPr>
          <w:rFonts w:ascii="Times New Roman" w:eastAsia="Times New Roman" w:hAnsi="Times New Roman" w:cs="Times New Roman"/>
          <w:i/>
          <w:iCs/>
          <w:color w:val="000000"/>
          <w:sz w:val="20"/>
          <w:szCs w:val="20"/>
          <w:lang w:eastAsia="en-GB"/>
        </w:rPr>
        <w:t>Philosophy and Phenomenological Research</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70</w:t>
      </w:r>
      <w:r w:rsidRPr="006B6541">
        <w:rPr>
          <w:rFonts w:ascii="Times New Roman" w:eastAsia="Times New Roman" w:hAnsi="Times New Roman" w:cs="Times New Roman"/>
          <w:color w:val="000000"/>
          <w:sz w:val="20"/>
          <w:szCs w:val="20"/>
          <w:lang w:eastAsia="en-GB"/>
        </w:rPr>
        <w:t xml:space="preserve">(1), 67–97. </w:t>
      </w:r>
      <w:hyperlink r:id="rId12" w:history="1">
        <w:r w:rsidRPr="006B6541">
          <w:rPr>
            <w:rStyle w:val="Hyperlink"/>
            <w:rFonts w:ascii="Times New Roman" w:eastAsia="Times New Roman" w:hAnsi="Times New Roman" w:cs="Times New Roman"/>
            <w:sz w:val="20"/>
            <w:szCs w:val="20"/>
            <w:lang w:eastAsia="en-GB"/>
          </w:rPr>
          <w:t>https://doi.org/10.1111/j.1933-1592.2005.tb00506.x</w:t>
        </w:r>
      </w:hyperlink>
    </w:p>
    <w:p w14:paraId="7642E1AB"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Hirsch, E. (2009). Ontology and Alternative Languages. In D. J. Chalmers, D. Manley, &amp; R. Wasserman (Eds.), </w:t>
      </w:r>
      <w:r w:rsidRPr="006B6541">
        <w:rPr>
          <w:rFonts w:ascii="Times New Roman" w:eastAsia="Times New Roman" w:hAnsi="Times New Roman" w:cs="Times New Roman"/>
          <w:i/>
          <w:iCs/>
          <w:color w:val="000000"/>
          <w:sz w:val="20"/>
          <w:szCs w:val="20"/>
          <w:lang w:eastAsia="en-GB"/>
        </w:rPr>
        <w:t>Metametaphysics: New Essays on the Foundations of Ontology</w:t>
      </w:r>
      <w:r w:rsidRPr="006B6541">
        <w:rPr>
          <w:rFonts w:ascii="Times New Roman" w:eastAsia="Times New Roman" w:hAnsi="Times New Roman" w:cs="Times New Roman"/>
          <w:color w:val="000000"/>
          <w:sz w:val="20"/>
          <w:szCs w:val="20"/>
          <w:lang w:eastAsia="en-GB"/>
        </w:rPr>
        <w:t xml:space="preserve"> (pp. 231–258). Oxford University Press.</w:t>
      </w:r>
    </w:p>
    <w:p w14:paraId="7ED85B86"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Jenkins, C. S. I. (2014). Merely Verbal Disputes. </w:t>
      </w:r>
      <w:r w:rsidRPr="006B6541">
        <w:rPr>
          <w:rFonts w:ascii="Times New Roman" w:eastAsia="Times New Roman" w:hAnsi="Times New Roman" w:cs="Times New Roman"/>
          <w:i/>
          <w:iCs/>
          <w:color w:val="000000"/>
          <w:sz w:val="20"/>
          <w:szCs w:val="20"/>
          <w:lang w:eastAsia="en-GB"/>
        </w:rPr>
        <w:t>Erkenntnis</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79</w:t>
      </w:r>
      <w:r w:rsidRPr="006B6541">
        <w:rPr>
          <w:rFonts w:ascii="Times New Roman" w:eastAsia="Times New Roman" w:hAnsi="Times New Roman" w:cs="Times New Roman"/>
          <w:color w:val="000000"/>
          <w:sz w:val="20"/>
          <w:szCs w:val="20"/>
          <w:lang w:eastAsia="en-GB"/>
        </w:rPr>
        <w:t xml:space="preserve">(S1), 11–30. </w:t>
      </w:r>
      <w:hyperlink r:id="rId13" w:history="1">
        <w:r w:rsidRPr="006B6541">
          <w:rPr>
            <w:rStyle w:val="Hyperlink"/>
            <w:rFonts w:ascii="Times New Roman" w:eastAsia="Times New Roman" w:hAnsi="Times New Roman" w:cs="Times New Roman"/>
            <w:sz w:val="20"/>
            <w:szCs w:val="20"/>
            <w:lang w:eastAsia="en-GB"/>
          </w:rPr>
          <w:t>https://doi.org/10.1007/s10670-013-9443-6</w:t>
        </w:r>
      </w:hyperlink>
    </w:p>
    <w:p w14:paraId="4D3C0E01"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Knoll, V. (forthcoming). (Mere) Verbalness and Substantivity Revisited. </w:t>
      </w:r>
      <w:r w:rsidRPr="006B6541">
        <w:rPr>
          <w:rFonts w:ascii="Times New Roman" w:eastAsia="Times New Roman" w:hAnsi="Times New Roman" w:cs="Times New Roman"/>
          <w:i/>
          <w:iCs/>
          <w:color w:val="000000"/>
          <w:sz w:val="20"/>
          <w:szCs w:val="20"/>
          <w:lang w:eastAsia="en-GB"/>
        </w:rPr>
        <w:t>Erkenntnis</w:t>
      </w:r>
      <w:r w:rsidRPr="006B6541">
        <w:rPr>
          <w:rFonts w:ascii="Times New Roman" w:eastAsia="Times New Roman" w:hAnsi="Times New Roman" w:cs="Times New Roman"/>
          <w:color w:val="000000"/>
          <w:sz w:val="20"/>
          <w:szCs w:val="20"/>
          <w:lang w:eastAsia="en-GB"/>
        </w:rPr>
        <w:t>.</w:t>
      </w:r>
    </w:p>
    <w:p w14:paraId="13F20C9D"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Krabbe, E. C. W., &amp; van Laar, J. A. (2019). In the quagmire of quibbles: A dialectical exploration. </w:t>
      </w:r>
      <w:r w:rsidRPr="006B6541">
        <w:rPr>
          <w:rFonts w:ascii="Times New Roman" w:eastAsia="Times New Roman" w:hAnsi="Times New Roman" w:cs="Times New Roman"/>
          <w:i/>
          <w:iCs/>
          <w:color w:val="000000"/>
          <w:sz w:val="20"/>
          <w:szCs w:val="20"/>
          <w:lang w:eastAsia="en-GB"/>
        </w:rPr>
        <w:t>Synthese</w:t>
      </w:r>
      <w:r w:rsidRPr="006B6541">
        <w:rPr>
          <w:rFonts w:ascii="Times New Roman" w:eastAsia="Times New Roman" w:hAnsi="Times New Roman" w:cs="Times New Roman"/>
          <w:color w:val="000000"/>
          <w:sz w:val="20"/>
          <w:szCs w:val="20"/>
          <w:lang w:eastAsia="en-GB"/>
        </w:rPr>
        <w:t xml:space="preserve">. </w:t>
      </w:r>
      <w:hyperlink r:id="rId14" w:history="1">
        <w:r w:rsidRPr="006B6541">
          <w:rPr>
            <w:rStyle w:val="Hyperlink"/>
            <w:rFonts w:ascii="Times New Roman" w:eastAsia="Times New Roman" w:hAnsi="Times New Roman" w:cs="Times New Roman"/>
            <w:sz w:val="20"/>
            <w:szCs w:val="20"/>
            <w:lang w:eastAsia="en-GB"/>
          </w:rPr>
          <w:t>https://doi.org/10.1007/s11229-019-02289-4</w:t>
        </w:r>
      </w:hyperlink>
    </w:p>
    <w:p w14:paraId="47DAAB1E"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Ludlow, P. (2014). </w:t>
      </w:r>
      <w:r w:rsidRPr="006B6541">
        <w:rPr>
          <w:rFonts w:ascii="Times New Roman" w:eastAsia="Times New Roman" w:hAnsi="Times New Roman" w:cs="Times New Roman"/>
          <w:i/>
          <w:iCs/>
          <w:color w:val="000000"/>
          <w:sz w:val="20"/>
          <w:szCs w:val="20"/>
          <w:lang w:eastAsia="en-GB"/>
        </w:rPr>
        <w:t>Living Words: Meaning Underdetermination and the Dynamic Lexicon</w:t>
      </w:r>
      <w:r w:rsidRPr="006B6541">
        <w:rPr>
          <w:rFonts w:ascii="Times New Roman" w:eastAsia="Times New Roman" w:hAnsi="Times New Roman" w:cs="Times New Roman"/>
          <w:color w:val="000000"/>
          <w:sz w:val="20"/>
          <w:szCs w:val="20"/>
          <w:lang w:eastAsia="en-GB"/>
        </w:rPr>
        <w:t>. Oxford University Press.</w:t>
      </w:r>
    </w:p>
    <w:p w14:paraId="2AE36DB3"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Plunkett, D. (2015). Which Concepts Should We </w:t>
      </w:r>
      <w:proofErr w:type="gramStart"/>
      <w:r w:rsidRPr="006B6541">
        <w:rPr>
          <w:rFonts w:ascii="Times New Roman" w:eastAsia="Times New Roman" w:hAnsi="Times New Roman" w:cs="Times New Roman"/>
          <w:color w:val="000000"/>
          <w:sz w:val="20"/>
          <w:szCs w:val="20"/>
          <w:lang w:eastAsia="en-GB"/>
        </w:rPr>
        <w:t>Use?:</w:t>
      </w:r>
      <w:proofErr w:type="gramEnd"/>
      <w:r w:rsidRPr="006B6541">
        <w:rPr>
          <w:rFonts w:ascii="Times New Roman" w:eastAsia="Times New Roman" w:hAnsi="Times New Roman" w:cs="Times New Roman"/>
          <w:color w:val="000000"/>
          <w:sz w:val="20"/>
          <w:szCs w:val="20"/>
          <w:lang w:eastAsia="en-GB"/>
        </w:rPr>
        <w:t xml:space="preserve"> Metalinguistic Negotiations and The Methodology of Philosophy. </w:t>
      </w:r>
      <w:r w:rsidRPr="006B6541">
        <w:rPr>
          <w:rFonts w:ascii="Times New Roman" w:eastAsia="Times New Roman" w:hAnsi="Times New Roman" w:cs="Times New Roman"/>
          <w:i/>
          <w:iCs/>
          <w:color w:val="000000"/>
          <w:sz w:val="20"/>
          <w:szCs w:val="20"/>
          <w:lang w:eastAsia="en-GB"/>
        </w:rPr>
        <w:t>Inquiry</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58</w:t>
      </w:r>
      <w:r w:rsidRPr="006B6541">
        <w:rPr>
          <w:rFonts w:ascii="Times New Roman" w:eastAsia="Times New Roman" w:hAnsi="Times New Roman" w:cs="Times New Roman"/>
          <w:color w:val="000000"/>
          <w:sz w:val="20"/>
          <w:szCs w:val="20"/>
          <w:lang w:eastAsia="en-GB"/>
        </w:rPr>
        <w:t xml:space="preserve">(7–8), 828–874. </w:t>
      </w:r>
      <w:hyperlink r:id="rId15" w:history="1">
        <w:r w:rsidRPr="006B6541">
          <w:rPr>
            <w:rStyle w:val="Hyperlink"/>
            <w:rFonts w:ascii="Times New Roman" w:eastAsia="Times New Roman" w:hAnsi="Times New Roman" w:cs="Times New Roman"/>
            <w:sz w:val="20"/>
            <w:szCs w:val="20"/>
            <w:lang w:eastAsia="en-GB"/>
          </w:rPr>
          <w:t>https://doi.org/10.1080/0020174X.2015.1080184</w:t>
        </w:r>
      </w:hyperlink>
    </w:p>
    <w:p w14:paraId="71F430A9"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Plunkett, D., &amp; Sundell, T. (2013). Disagreement and the Semantics of Normative and Evaluative Terms. </w:t>
      </w:r>
      <w:r w:rsidRPr="006B6541">
        <w:rPr>
          <w:rFonts w:ascii="Times New Roman" w:eastAsia="Times New Roman" w:hAnsi="Times New Roman" w:cs="Times New Roman"/>
          <w:i/>
          <w:iCs/>
          <w:color w:val="000000"/>
          <w:sz w:val="20"/>
          <w:szCs w:val="20"/>
          <w:lang w:eastAsia="en-GB"/>
        </w:rPr>
        <w:t>Philosophers’ Imprint</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13</w:t>
      </w:r>
      <w:r w:rsidRPr="006B6541">
        <w:rPr>
          <w:rFonts w:ascii="Times New Roman" w:eastAsia="Times New Roman" w:hAnsi="Times New Roman" w:cs="Times New Roman"/>
          <w:color w:val="000000"/>
          <w:sz w:val="20"/>
          <w:szCs w:val="20"/>
          <w:lang w:eastAsia="en-GB"/>
        </w:rPr>
        <w:t>(23), 1–37.</w:t>
      </w:r>
    </w:p>
    <w:p w14:paraId="3FFBABEB"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lastRenderedPageBreak/>
        <w:t xml:space="preserve">Rott, H. (2015). A Puzzle About Disputes and Disagreements. </w:t>
      </w:r>
      <w:r w:rsidRPr="006B6541">
        <w:rPr>
          <w:rFonts w:ascii="Times New Roman" w:eastAsia="Times New Roman" w:hAnsi="Times New Roman" w:cs="Times New Roman"/>
          <w:i/>
          <w:iCs/>
          <w:color w:val="000000"/>
          <w:sz w:val="20"/>
          <w:szCs w:val="20"/>
          <w:lang w:eastAsia="en-GB"/>
        </w:rPr>
        <w:t>Erkenntnis</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80</w:t>
      </w:r>
      <w:r w:rsidRPr="006B6541">
        <w:rPr>
          <w:rFonts w:ascii="Times New Roman" w:eastAsia="Times New Roman" w:hAnsi="Times New Roman" w:cs="Times New Roman"/>
          <w:color w:val="000000"/>
          <w:sz w:val="20"/>
          <w:szCs w:val="20"/>
          <w:lang w:eastAsia="en-GB"/>
        </w:rPr>
        <w:t xml:space="preserve">(1), 167–189. </w:t>
      </w:r>
      <w:hyperlink r:id="rId16" w:history="1">
        <w:r w:rsidRPr="006B6541">
          <w:rPr>
            <w:rStyle w:val="Hyperlink"/>
            <w:rFonts w:ascii="Times New Roman" w:eastAsia="Times New Roman" w:hAnsi="Times New Roman" w:cs="Times New Roman"/>
            <w:sz w:val="20"/>
            <w:szCs w:val="20"/>
            <w:lang w:eastAsia="en-GB"/>
          </w:rPr>
          <w:t>https://doi.org/10.1007/s10670-014-9677-y</w:t>
        </w:r>
      </w:hyperlink>
    </w:p>
    <w:p w14:paraId="34FF3F32" w14:textId="77777777" w:rsidR="006B6541" w:rsidRPr="006B6541" w:rsidRDefault="006B6541" w:rsidP="006B6541">
      <w:pPr>
        <w:spacing w:after="200" w:line="276" w:lineRule="auto"/>
        <w:rPr>
          <w:rFonts w:ascii="Times New Roman" w:eastAsia="Times New Roman" w:hAnsi="Times New Roman" w:cs="Times New Roman"/>
          <w:color w:val="000000"/>
          <w:sz w:val="20"/>
          <w:szCs w:val="20"/>
          <w:lang w:eastAsia="en-GB"/>
        </w:rPr>
      </w:pPr>
      <w:r w:rsidRPr="006B6541">
        <w:rPr>
          <w:rFonts w:ascii="Times New Roman" w:eastAsia="Times New Roman" w:hAnsi="Times New Roman" w:cs="Times New Roman"/>
          <w:color w:val="000000"/>
          <w:sz w:val="20"/>
          <w:szCs w:val="20"/>
          <w:lang w:eastAsia="en-GB"/>
        </w:rPr>
        <w:t xml:space="preserve">Vermeulen, I. (2018). Verbal Disputes and the Varieties of Verbalness. </w:t>
      </w:r>
      <w:r w:rsidRPr="006B6541">
        <w:rPr>
          <w:rFonts w:ascii="Times New Roman" w:eastAsia="Times New Roman" w:hAnsi="Times New Roman" w:cs="Times New Roman"/>
          <w:i/>
          <w:iCs/>
          <w:color w:val="000000"/>
          <w:sz w:val="20"/>
          <w:szCs w:val="20"/>
          <w:lang w:eastAsia="en-GB"/>
        </w:rPr>
        <w:t>Erkenntnis</w:t>
      </w:r>
      <w:r w:rsidRPr="006B6541">
        <w:rPr>
          <w:rFonts w:ascii="Times New Roman" w:eastAsia="Times New Roman" w:hAnsi="Times New Roman" w:cs="Times New Roman"/>
          <w:color w:val="000000"/>
          <w:sz w:val="20"/>
          <w:szCs w:val="20"/>
          <w:lang w:eastAsia="en-GB"/>
        </w:rPr>
        <w:t xml:space="preserve">, </w:t>
      </w:r>
      <w:r w:rsidRPr="006B6541">
        <w:rPr>
          <w:rFonts w:ascii="Times New Roman" w:eastAsia="Times New Roman" w:hAnsi="Times New Roman" w:cs="Times New Roman"/>
          <w:i/>
          <w:iCs/>
          <w:color w:val="000000"/>
          <w:sz w:val="20"/>
          <w:szCs w:val="20"/>
          <w:lang w:eastAsia="en-GB"/>
        </w:rPr>
        <w:t>83</w:t>
      </w:r>
      <w:r w:rsidRPr="006B6541">
        <w:rPr>
          <w:rFonts w:ascii="Times New Roman" w:eastAsia="Times New Roman" w:hAnsi="Times New Roman" w:cs="Times New Roman"/>
          <w:color w:val="000000"/>
          <w:sz w:val="20"/>
          <w:szCs w:val="20"/>
          <w:lang w:eastAsia="en-GB"/>
        </w:rPr>
        <w:t xml:space="preserve">(2), 331–348. </w:t>
      </w:r>
      <w:hyperlink r:id="rId17" w:history="1">
        <w:r w:rsidRPr="006B6541">
          <w:rPr>
            <w:rStyle w:val="Hyperlink"/>
            <w:rFonts w:ascii="Times New Roman" w:eastAsia="Times New Roman" w:hAnsi="Times New Roman" w:cs="Times New Roman"/>
            <w:sz w:val="20"/>
            <w:szCs w:val="20"/>
            <w:lang w:eastAsia="en-GB"/>
          </w:rPr>
          <w:t>https://doi.org/10.1007/s10670-017-9892-4</w:t>
        </w:r>
      </w:hyperlink>
    </w:p>
    <w:p w14:paraId="5BB3C885" w14:textId="3F283F6D" w:rsidR="00D7136B" w:rsidRPr="00D7136B" w:rsidRDefault="00D7136B" w:rsidP="006B6541">
      <w:pPr>
        <w:spacing w:after="200" w:line="276" w:lineRule="auto"/>
        <w:rPr>
          <w:rFonts w:ascii="Times New Roman" w:eastAsia="Times New Roman" w:hAnsi="Times New Roman" w:cs="Times New Roman"/>
          <w:lang w:eastAsia="en-GB"/>
        </w:rPr>
      </w:pPr>
      <w:r w:rsidRPr="00D7136B">
        <w:rPr>
          <w:rFonts w:ascii="Times New Roman" w:eastAsia="Times New Roman" w:hAnsi="Times New Roman" w:cs="Times New Roman"/>
          <w:lang w:eastAsia="en-GB"/>
        </w:rPr>
        <w:br/>
      </w:r>
      <w:r w:rsidRPr="00D7136B">
        <w:rPr>
          <w:rFonts w:ascii="Times New Roman" w:eastAsia="Times New Roman" w:hAnsi="Times New Roman" w:cs="Times New Roman"/>
          <w:lang w:eastAsia="en-GB"/>
        </w:rPr>
        <w:br/>
      </w:r>
      <w:r w:rsidRPr="00D7136B">
        <w:rPr>
          <w:rFonts w:ascii="Times New Roman" w:eastAsia="Times New Roman" w:hAnsi="Times New Roman" w:cs="Times New Roman"/>
          <w:lang w:eastAsia="en-GB"/>
        </w:rPr>
        <w:br/>
      </w:r>
      <w:r w:rsidRPr="00D7136B">
        <w:rPr>
          <w:rFonts w:ascii="Times New Roman" w:eastAsia="Times New Roman" w:hAnsi="Times New Roman" w:cs="Times New Roman"/>
          <w:lang w:eastAsia="en-GB"/>
        </w:rPr>
        <w:br/>
      </w:r>
      <w:r w:rsidRPr="00D7136B">
        <w:rPr>
          <w:rFonts w:ascii="Times New Roman" w:eastAsia="Times New Roman" w:hAnsi="Times New Roman" w:cs="Times New Roman"/>
          <w:lang w:eastAsia="en-GB"/>
        </w:rPr>
        <w:br/>
      </w:r>
    </w:p>
    <w:p w14:paraId="18251A7E" w14:textId="77777777" w:rsidR="00D7136B" w:rsidRDefault="00D7136B" w:rsidP="00D7136B">
      <w:pPr>
        <w:spacing w:line="276" w:lineRule="auto"/>
      </w:pPr>
    </w:p>
    <w:sectPr w:rsidR="00D71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B92"/>
    <w:multiLevelType w:val="multilevel"/>
    <w:tmpl w:val="66B8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6B"/>
    <w:rsid w:val="003C3180"/>
    <w:rsid w:val="00417888"/>
    <w:rsid w:val="0042151B"/>
    <w:rsid w:val="0043171A"/>
    <w:rsid w:val="00457109"/>
    <w:rsid w:val="004E4F84"/>
    <w:rsid w:val="00613941"/>
    <w:rsid w:val="00683962"/>
    <w:rsid w:val="006B6541"/>
    <w:rsid w:val="00757442"/>
    <w:rsid w:val="007633D2"/>
    <w:rsid w:val="007903B8"/>
    <w:rsid w:val="007B123B"/>
    <w:rsid w:val="007E3EC5"/>
    <w:rsid w:val="008857D2"/>
    <w:rsid w:val="00AA2C49"/>
    <w:rsid w:val="00CD6153"/>
    <w:rsid w:val="00D7136B"/>
    <w:rsid w:val="00E343DE"/>
    <w:rsid w:val="00FB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B23A0"/>
  <w15:chartTrackingRefBased/>
  <w15:docId w15:val="{E54A8729-149C-9848-8695-538819CF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3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6541"/>
    <w:rPr>
      <w:color w:val="0563C1" w:themeColor="hyperlink"/>
      <w:u w:val="single"/>
    </w:rPr>
  </w:style>
  <w:style w:type="character" w:styleId="UnresolvedMention">
    <w:name w:val="Unresolved Mention"/>
    <w:basedOn w:val="DefaultParagraphFont"/>
    <w:uiPriority w:val="99"/>
    <w:semiHidden/>
    <w:unhideWhenUsed/>
    <w:rsid w:val="006B6541"/>
    <w:rPr>
      <w:color w:val="605E5C"/>
      <w:shd w:val="clear" w:color="auto" w:fill="E1DFDD"/>
    </w:rPr>
  </w:style>
  <w:style w:type="character" w:styleId="CommentReference">
    <w:name w:val="annotation reference"/>
    <w:basedOn w:val="DefaultParagraphFont"/>
    <w:uiPriority w:val="99"/>
    <w:semiHidden/>
    <w:unhideWhenUsed/>
    <w:rsid w:val="00AA2C49"/>
    <w:rPr>
      <w:sz w:val="16"/>
      <w:szCs w:val="16"/>
    </w:rPr>
  </w:style>
  <w:style w:type="paragraph" w:styleId="CommentText">
    <w:name w:val="annotation text"/>
    <w:basedOn w:val="Normal"/>
    <w:link w:val="CommentTextChar"/>
    <w:uiPriority w:val="99"/>
    <w:unhideWhenUsed/>
    <w:rsid w:val="00AA2C49"/>
    <w:rPr>
      <w:sz w:val="20"/>
      <w:szCs w:val="20"/>
    </w:rPr>
  </w:style>
  <w:style w:type="character" w:customStyle="1" w:styleId="CommentTextChar">
    <w:name w:val="Comment Text Char"/>
    <w:basedOn w:val="DefaultParagraphFont"/>
    <w:link w:val="CommentText"/>
    <w:uiPriority w:val="99"/>
    <w:rsid w:val="00AA2C49"/>
    <w:rPr>
      <w:sz w:val="20"/>
      <w:szCs w:val="20"/>
    </w:rPr>
  </w:style>
  <w:style w:type="paragraph" w:styleId="CommentSubject">
    <w:name w:val="annotation subject"/>
    <w:basedOn w:val="CommentText"/>
    <w:next w:val="CommentText"/>
    <w:link w:val="CommentSubjectChar"/>
    <w:uiPriority w:val="99"/>
    <w:semiHidden/>
    <w:unhideWhenUsed/>
    <w:rsid w:val="00AA2C49"/>
    <w:rPr>
      <w:b/>
      <w:bCs/>
    </w:rPr>
  </w:style>
  <w:style w:type="character" w:customStyle="1" w:styleId="CommentSubjectChar">
    <w:name w:val="Comment Subject Char"/>
    <w:basedOn w:val="CommentTextChar"/>
    <w:link w:val="CommentSubject"/>
    <w:uiPriority w:val="99"/>
    <w:semiHidden/>
    <w:rsid w:val="00AA2C49"/>
    <w:rPr>
      <w:b/>
      <w:bCs/>
      <w:sz w:val="20"/>
      <w:szCs w:val="20"/>
    </w:rPr>
  </w:style>
  <w:style w:type="character" w:styleId="FollowedHyperlink">
    <w:name w:val="FollowedHyperlink"/>
    <w:basedOn w:val="DefaultParagraphFont"/>
    <w:uiPriority w:val="99"/>
    <w:semiHidden/>
    <w:unhideWhenUsed/>
    <w:rsid w:val="00CD6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0912">
      <w:bodyDiv w:val="1"/>
      <w:marLeft w:val="0"/>
      <w:marRight w:val="0"/>
      <w:marTop w:val="0"/>
      <w:marBottom w:val="0"/>
      <w:divBdr>
        <w:top w:val="none" w:sz="0" w:space="0" w:color="auto"/>
        <w:left w:val="none" w:sz="0" w:space="0" w:color="auto"/>
        <w:bottom w:val="none" w:sz="0" w:space="0" w:color="auto"/>
        <w:right w:val="none" w:sz="0" w:space="0" w:color="auto"/>
      </w:divBdr>
    </w:div>
    <w:div w:id="1373310481">
      <w:bodyDiv w:val="1"/>
      <w:marLeft w:val="0"/>
      <w:marRight w:val="0"/>
      <w:marTop w:val="0"/>
      <w:marBottom w:val="0"/>
      <w:divBdr>
        <w:top w:val="none" w:sz="0" w:space="0" w:color="auto"/>
        <w:left w:val="none" w:sz="0" w:space="0" w:color="auto"/>
        <w:bottom w:val="none" w:sz="0" w:space="0" w:color="auto"/>
        <w:right w:val="none" w:sz="0" w:space="0" w:color="auto"/>
      </w:divBdr>
    </w:div>
    <w:div w:id="1535997422">
      <w:bodyDiv w:val="1"/>
      <w:marLeft w:val="0"/>
      <w:marRight w:val="0"/>
      <w:marTop w:val="0"/>
      <w:marBottom w:val="0"/>
      <w:divBdr>
        <w:top w:val="none" w:sz="0" w:space="0" w:color="auto"/>
        <w:left w:val="none" w:sz="0" w:space="0" w:color="auto"/>
        <w:bottom w:val="none" w:sz="0" w:space="0" w:color="auto"/>
        <w:right w:val="none" w:sz="0" w:space="0" w:color="auto"/>
      </w:divBdr>
      <w:divsChild>
        <w:div w:id="988561028">
          <w:marLeft w:val="480"/>
          <w:marRight w:val="0"/>
          <w:marTop w:val="0"/>
          <w:marBottom w:val="0"/>
          <w:divBdr>
            <w:top w:val="none" w:sz="0" w:space="0" w:color="auto"/>
            <w:left w:val="none" w:sz="0" w:space="0" w:color="auto"/>
            <w:bottom w:val="none" w:sz="0" w:space="0" w:color="auto"/>
            <w:right w:val="none" w:sz="0" w:space="0" w:color="auto"/>
          </w:divBdr>
          <w:divsChild>
            <w:div w:id="269313946">
              <w:marLeft w:val="0"/>
              <w:marRight w:val="0"/>
              <w:marTop w:val="0"/>
              <w:marBottom w:val="0"/>
              <w:divBdr>
                <w:top w:val="none" w:sz="0" w:space="0" w:color="auto"/>
                <w:left w:val="none" w:sz="0" w:space="0" w:color="auto"/>
                <w:bottom w:val="none" w:sz="0" w:space="0" w:color="auto"/>
                <w:right w:val="none" w:sz="0" w:space="0" w:color="auto"/>
              </w:divBdr>
            </w:div>
            <w:div w:id="889222579">
              <w:marLeft w:val="0"/>
              <w:marRight w:val="0"/>
              <w:marTop w:val="0"/>
              <w:marBottom w:val="0"/>
              <w:divBdr>
                <w:top w:val="none" w:sz="0" w:space="0" w:color="auto"/>
                <w:left w:val="none" w:sz="0" w:space="0" w:color="auto"/>
                <w:bottom w:val="none" w:sz="0" w:space="0" w:color="auto"/>
                <w:right w:val="none" w:sz="0" w:space="0" w:color="auto"/>
              </w:divBdr>
            </w:div>
            <w:div w:id="136530536">
              <w:marLeft w:val="0"/>
              <w:marRight w:val="0"/>
              <w:marTop w:val="0"/>
              <w:marBottom w:val="0"/>
              <w:divBdr>
                <w:top w:val="none" w:sz="0" w:space="0" w:color="auto"/>
                <w:left w:val="none" w:sz="0" w:space="0" w:color="auto"/>
                <w:bottom w:val="none" w:sz="0" w:space="0" w:color="auto"/>
                <w:right w:val="none" w:sz="0" w:space="0" w:color="auto"/>
              </w:divBdr>
            </w:div>
            <w:div w:id="132214580">
              <w:marLeft w:val="0"/>
              <w:marRight w:val="0"/>
              <w:marTop w:val="0"/>
              <w:marBottom w:val="0"/>
              <w:divBdr>
                <w:top w:val="none" w:sz="0" w:space="0" w:color="auto"/>
                <w:left w:val="none" w:sz="0" w:space="0" w:color="auto"/>
                <w:bottom w:val="none" w:sz="0" w:space="0" w:color="auto"/>
                <w:right w:val="none" w:sz="0" w:space="0" w:color="auto"/>
              </w:divBdr>
            </w:div>
            <w:div w:id="1209612676">
              <w:marLeft w:val="0"/>
              <w:marRight w:val="0"/>
              <w:marTop w:val="0"/>
              <w:marBottom w:val="0"/>
              <w:divBdr>
                <w:top w:val="none" w:sz="0" w:space="0" w:color="auto"/>
                <w:left w:val="none" w:sz="0" w:space="0" w:color="auto"/>
                <w:bottom w:val="none" w:sz="0" w:space="0" w:color="auto"/>
                <w:right w:val="none" w:sz="0" w:space="0" w:color="auto"/>
              </w:divBdr>
            </w:div>
            <w:div w:id="328607912">
              <w:marLeft w:val="0"/>
              <w:marRight w:val="0"/>
              <w:marTop w:val="0"/>
              <w:marBottom w:val="0"/>
              <w:divBdr>
                <w:top w:val="none" w:sz="0" w:space="0" w:color="auto"/>
                <w:left w:val="none" w:sz="0" w:space="0" w:color="auto"/>
                <w:bottom w:val="none" w:sz="0" w:space="0" w:color="auto"/>
                <w:right w:val="none" w:sz="0" w:space="0" w:color="auto"/>
              </w:divBdr>
            </w:div>
            <w:div w:id="1249466017">
              <w:marLeft w:val="0"/>
              <w:marRight w:val="0"/>
              <w:marTop w:val="0"/>
              <w:marBottom w:val="0"/>
              <w:divBdr>
                <w:top w:val="none" w:sz="0" w:space="0" w:color="auto"/>
                <w:left w:val="none" w:sz="0" w:space="0" w:color="auto"/>
                <w:bottom w:val="none" w:sz="0" w:space="0" w:color="auto"/>
                <w:right w:val="none" w:sz="0" w:space="0" w:color="auto"/>
              </w:divBdr>
            </w:div>
            <w:div w:id="222832857">
              <w:marLeft w:val="0"/>
              <w:marRight w:val="0"/>
              <w:marTop w:val="0"/>
              <w:marBottom w:val="0"/>
              <w:divBdr>
                <w:top w:val="none" w:sz="0" w:space="0" w:color="auto"/>
                <w:left w:val="none" w:sz="0" w:space="0" w:color="auto"/>
                <w:bottom w:val="none" w:sz="0" w:space="0" w:color="auto"/>
                <w:right w:val="none" w:sz="0" w:space="0" w:color="auto"/>
              </w:divBdr>
            </w:div>
            <w:div w:id="398092282">
              <w:marLeft w:val="0"/>
              <w:marRight w:val="0"/>
              <w:marTop w:val="0"/>
              <w:marBottom w:val="0"/>
              <w:divBdr>
                <w:top w:val="none" w:sz="0" w:space="0" w:color="auto"/>
                <w:left w:val="none" w:sz="0" w:space="0" w:color="auto"/>
                <w:bottom w:val="none" w:sz="0" w:space="0" w:color="auto"/>
                <w:right w:val="none" w:sz="0" w:space="0" w:color="auto"/>
              </w:divBdr>
            </w:div>
            <w:div w:id="2016809579">
              <w:marLeft w:val="0"/>
              <w:marRight w:val="0"/>
              <w:marTop w:val="0"/>
              <w:marBottom w:val="0"/>
              <w:divBdr>
                <w:top w:val="none" w:sz="0" w:space="0" w:color="auto"/>
                <w:left w:val="none" w:sz="0" w:space="0" w:color="auto"/>
                <w:bottom w:val="none" w:sz="0" w:space="0" w:color="auto"/>
                <w:right w:val="none" w:sz="0" w:space="0" w:color="auto"/>
              </w:divBdr>
            </w:div>
            <w:div w:id="527329953">
              <w:marLeft w:val="0"/>
              <w:marRight w:val="0"/>
              <w:marTop w:val="0"/>
              <w:marBottom w:val="0"/>
              <w:divBdr>
                <w:top w:val="none" w:sz="0" w:space="0" w:color="auto"/>
                <w:left w:val="none" w:sz="0" w:space="0" w:color="auto"/>
                <w:bottom w:val="none" w:sz="0" w:space="0" w:color="auto"/>
                <w:right w:val="none" w:sz="0" w:space="0" w:color="auto"/>
              </w:divBdr>
            </w:div>
            <w:div w:id="1069687772">
              <w:marLeft w:val="0"/>
              <w:marRight w:val="0"/>
              <w:marTop w:val="0"/>
              <w:marBottom w:val="0"/>
              <w:divBdr>
                <w:top w:val="none" w:sz="0" w:space="0" w:color="auto"/>
                <w:left w:val="none" w:sz="0" w:space="0" w:color="auto"/>
                <w:bottom w:val="none" w:sz="0" w:space="0" w:color="auto"/>
                <w:right w:val="none" w:sz="0" w:space="0" w:color="auto"/>
              </w:divBdr>
            </w:div>
            <w:div w:id="1162353790">
              <w:marLeft w:val="0"/>
              <w:marRight w:val="0"/>
              <w:marTop w:val="0"/>
              <w:marBottom w:val="0"/>
              <w:divBdr>
                <w:top w:val="none" w:sz="0" w:space="0" w:color="auto"/>
                <w:left w:val="none" w:sz="0" w:space="0" w:color="auto"/>
                <w:bottom w:val="none" w:sz="0" w:space="0" w:color="auto"/>
                <w:right w:val="none" w:sz="0" w:space="0" w:color="auto"/>
              </w:divBdr>
            </w:div>
            <w:div w:id="723989723">
              <w:marLeft w:val="0"/>
              <w:marRight w:val="0"/>
              <w:marTop w:val="0"/>
              <w:marBottom w:val="0"/>
              <w:divBdr>
                <w:top w:val="none" w:sz="0" w:space="0" w:color="auto"/>
                <w:left w:val="none" w:sz="0" w:space="0" w:color="auto"/>
                <w:bottom w:val="none" w:sz="0" w:space="0" w:color="auto"/>
                <w:right w:val="none" w:sz="0" w:space="0" w:color="auto"/>
              </w:divBdr>
            </w:div>
            <w:div w:id="1584874713">
              <w:marLeft w:val="0"/>
              <w:marRight w:val="0"/>
              <w:marTop w:val="0"/>
              <w:marBottom w:val="0"/>
              <w:divBdr>
                <w:top w:val="none" w:sz="0" w:space="0" w:color="auto"/>
                <w:left w:val="none" w:sz="0" w:space="0" w:color="auto"/>
                <w:bottom w:val="none" w:sz="0" w:space="0" w:color="auto"/>
                <w:right w:val="none" w:sz="0" w:space="0" w:color="auto"/>
              </w:divBdr>
            </w:div>
            <w:div w:id="1511795223">
              <w:marLeft w:val="0"/>
              <w:marRight w:val="0"/>
              <w:marTop w:val="0"/>
              <w:marBottom w:val="0"/>
              <w:divBdr>
                <w:top w:val="none" w:sz="0" w:space="0" w:color="auto"/>
                <w:left w:val="none" w:sz="0" w:space="0" w:color="auto"/>
                <w:bottom w:val="none" w:sz="0" w:space="0" w:color="auto"/>
                <w:right w:val="none" w:sz="0" w:space="0" w:color="auto"/>
              </w:divBdr>
            </w:div>
            <w:div w:id="1298561558">
              <w:marLeft w:val="0"/>
              <w:marRight w:val="0"/>
              <w:marTop w:val="0"/>
              <w:marBottom w:val="0"/>
              <w:divBdr>
                <w:top w:val="none" w:sz="0" w:space="0" w:color="auto"/>
                <w:left w:val="none" w:sz="0" w:space="0" w:color="auto"/>
                <w:bottom w:val="none" w:sz="0" w:space="0" w:color="auto"/>
                <w:right w:val="none" w:sz="0" w:space="0" w:color="auto"/>
              </w:divBdr>
            </w:div>
            <w:div w:id="1420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99706">
      <w:bodyDiv w:val="1"/>
      <w:marLeft w:val="0"/>
      <w:marRight w:val="0"/>
      <w:marTop w:val="0"/>
      <w:marBottom w:val="0"/>
      <w:divBdr>
        <w:top w:val="none" w:sz="0" w:space="0" w:color="auto"/>
        <w:left w:val="none" w:sz="0" w:space="0" w:color="auto"/>
        <w:bottom w:val="none" w:sz="0" w:space="0" w:color="auto"/>
        <w:right w:val="none" w:sz="0" w:space="0" w:color="auto"/>
      </w:divBdr>
      <w:divsChild>
        <w:div w:id="1749494023">
          <w:marLeft w:val="480"/>
          <w:marRight w:val="0"/>
          <w:marTop w:val="0"/>
          <w:marBottom w:val="0"/>
          <w:divBdr>
            <w:top w:val="none" w:sz="0" w:space="0" w:color="auto"/>
            <w:left w:val="none" w:sz="0" w:space="0" w:color="auto"/>
            <w:bottom w:val="none" w:sz="0" w:space="0" w:color="auto"/>
            <w:right w:val="none" w:sz="0" w:space="0" w:color="auto"/>
          </w:divBdr>
          <w:divsChild>
            <w:div w:id="9392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98-016-0795-z" TargetMode="External"/><Relationship Id="rId13" Type="http://schemas.openxmlformats.org/officeDocument/2006/relationships/hyperlink" Target="https://doi.org/10.1007/s10670-013-944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0670-013-9444-5" TargetMode="External"/><Relationship Id="rId12" Type="http://schemas.openxmlformats.org/officeDocument/2006/relationships/hyperlink" Target="https://doi.org/10.1111/j.1933-1592.2005.tb00506.x" TargetMode="External"/><Relationship Id="rId17" Type="http://schemas.openxmlformats.org/officeDocument/2006/relationships/hyperlink" Target="https://doi.org/10.1007/s10670-017-9892-4" TargetMode="External"/><Relationship Id="rId2" Type="http://schemas.openxmlformats.org/officeDocument/2006/relationships/styles" Target="styles.xml"/><Relationship Id="rId16" Type="http://schemas.openxmlformats.org/officeDocument/2006/relationships/hyperlink" Target="https://doi.org/10.1007/s10670-014-9677-y" TargetMode="External"/><Relationship Id="rId1" Type="http://schemas.openxmlformats.org/officeDocument/2006/relationships/numbering" Target="numbering.xml"/><Relationship Id="rId6" Type="http://schemas.openxmlformats.org/officeDocument/2006/relationships/hyperlink" Target="https://doi.org/10.1111/j.1933-1592.2011.00569.x" TargetMode="External"/><Relationship Id="rId11" Type="http://schemas.openxmlformats.org/officeDocument/2006/relationships/hyperlink" Target="https://doi.org/https/doi.org/10.3176/tr.2020.3.02" TargetMode="External"/><Relationship Id="rId5" Type="http://schemas.openxmlformats.org/officeDocument/2006/relationships/hyperlink" Target="https://doi.org/10.1007/s11229-020-02866-y" TargetMode="External"/><Relationship Id="rId15" Type="http://schemas.openxmlformats.org/officeDocument/2006/relationships/hyperlink" Target="https://doi.org/10.1080/0020174X.2015.1080184" TargetMode="External"/><Relationship Id="rId10" Type="http://schemas.openxmlformats.org/officeDocument/2006/relationships/hyperlink" Target="https://doi.org/10.1215/00318108-13344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11/meta.12335" TargetMode="External"/><Relationship Id="rId14" Type="http://schemas.openxmlformats.org/officeDocument/2006/relationships/hyperlink" Target="https://doi.org/10.1007/s11229-019-022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Abreu</dc:creator>
  <cp:keywords/>
  <dc:description/>
  <cp:lastModifiedBy>Pedro Abreu</cp:lastModifiedBy>
  <cp:revision>3</cp:revision>
  <dcterms:created xsi:type="dcterms:W3CDTF">2021-07-30T12:22:00Z</dcterms:created>
  <dcterms:modified xsi:type="dcterms:W3CDTF">2021-07-30T12:24:00Z</dcterms:modified>
</cp:coreProperties>
</file>