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0E2E26" w14:paraId="1B65D36F" wp14:textId="31B2669E">
      <w:pPr>
        <w:jc w:val="cente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32"/>
          <w:szCs w:val="32"/>
          <w:lang w:val="en-US"/>
        </w:rPr>
        <w:t>Rational Resoluteness and Intrapersonal Disagreement</w:t>
      </w:r>
    </w:p>
    <w:p xmlns:wp14="http://schemas.microsoft.com/office/word/2010/wordml" w:rsidP="450E2E26" w14:paraId="0C545674" wp14:textId="14014FFB">
      <w:pPr>
        <w:jc w:val="left"/>
        <w:rPr>
          <w:rFonts w:ascii="Palatino" w:hAnsi="Palatino" w:eastAsia="Palatino" w:cs="Palatino"/>
          <w:noProof w:val="0"/>
          <w:color w:val="000000" w:themeColor="text1" w:themeTint="FF" w:themeShade="FF"/>
          <w:sz w:val="24"/>
          <w:szCs w:val="24"/>
          <w:lang w:val="en-US"/>
        </w:rPr>
      </w:pPr>
      <w:r>
        <w:br/>
      </w:r>
      <w:r w:rsidRPr="450E2E26" w:rsidR="5F48DE70">
        <w:rPr>
          <w:rFonts w:ascii="Palatino" w:hAnsi="Palatino" w:eastAsia="Palatino" w:cs="Palatino"/>
          <w:b w:val="1"/>
          <w:bCs w:val="1"/>
          <w:noProof w:val="0"/>
          <w:color w:val="000000" w:themeColor="text1" w:themeTint="FF" w:themeShade="FF"/>
          <w:sz w:val="24"/>
          <w:szCs w:val="24"/>
          <w:lang w:val="en-US"/>
        </w:rPr>
        <w:t>Abstract</w:t>
      </w:r>
      <w:r w:rsidRPr="450E2E26" w:rsidR="5F48DE70">
        <w:rPr>
          <w:rFonts w:ascii="Palatino" w:hAnsi="Palatino" w:eastAsia="Palatino" w:cs="Palatino"/>
          <w:noProof w:val="0"/>
          <w:color w:val="000000" w:themeColor="text1" w:themeTint="FF" w:themeShade="FF"/>
          <w:sz w:val="24"/>
          <w:szCs w:val="24"/>
          <w:lang w:val="en-US"/>
        </w:rPr>
        <w:t>:</w:t>
      </w:r>
    </w:p>
    <w:p xmlns:wp14="http://schemas.microsoft.com/office/word/2010/wordml" w:rsidP="450E2E26" w14:paraId="28F1041B" wp14:textId="380F1051">
      <w:pPr>
        <w:jc w:val="both"/>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There is a particular philosophical puzzle associated with rational resoluteness: how can it be rational to remain resolute, when we are liable to judge that we should be irresolute? How can one rationally retain a resolution not to smoke anymore, for example, once one genuinely judges that one should smoke (one last time)? I show how Richard Holton has attempted to resolve this puzzle in favor of rational resoluteness by arguing that our resolutions give us reasons to avoid reconsideration. After considering some problems for Holton’s account, I offer my own response to the puzzle: rational resoluteness via attending to intrapersonal disagreement––disagreement with our own past judgments. I show that this account can explain rational resoluteness in the face of judgment shift, and that it also yields dividends for Holton’s account. Finally, I sketch an argument that, </w:t>
      </w:r>
      <w:r w:rsidRPr="450E2E26" w:rsidR="5F48DE70">
        <w:rPr>
          <w:rFonts w:ascii="Palatino" w:hAnsi="Palatino" w:eastAsia="Palatino" w:cs="Palatino"/>
          <w:i w:val="1"/>
          <w:iCs w:val="1"/>
          <w:noProof w:val="0"/>
          <w:color w:val="000000" w:themeColor="text1" w:themeTint="FF" w:themeShade="FF"/>
          <w:sz w:val="24"/>
          <w:szCs w:val="24"/>
          <w:lang w:val="en-US"/>
        </w:rPr>
        <w:t>pace</w:t>
      </w:r>
      <w:r w:rsidRPr="450E2E26" w:rsidR="5F48DE70">
        <w:rPr>
          <w:rFonts w:ascii="Palatino" w:hAnsi="Palatino" w:eastAsia="Palatino" w:cs="Palatino"/>
          <w:noProof w:val="0"/>
          <w:color w:val="000000" w:themeColor="text1" w:themeTint="FF" w:themeShade="FF"/>
          <w:sz w:val="24"/>
          <w:szCs w:val="24"/>
          <w:lang w:val="en-US"/>
        </w:rPr>
        <w:t xml:space="preserve"> Holton, we are sometimes </w:t>
      </w:r>
      <w:r w:rsidRPr="450E2E26" w:rsidR="5F48DE70">
        <w:rPr>
          <w:rFonts w:ascii="Palatino" w:hAnsi="Palatino" w:eastAsia="Palatino" w:cs="Palatino"/>
          <w:i w:val="1"/>
          <w:iCs w:val="1"/>
          <w:noProof w:val="0"/>
          <w:color w:val="000000" w:themeColor="text1" w:themeTint="FF" w:themeShade="FF"/>
          <w:sz w:val="24"/>
          <w:szCs w:val="24"/>
          <w:lang w:val="en-US"/>
        </w:rPr>
        <w:t>irrational</w:t>
      </w:r>
      <w:r w:rsidRPr="450E2E26" w:rsidR="5F48DE70">
        <w:rPr>
          <w:rFonts w:ascii="Palatino" w:hAnsi="Palatino" w:eastAsia="Palatino" w:cs="Palatino"/>
          <w:noProof w:val="0"/>
          <w:color w:val="000000" w:themeColor="text1" w:themeTint="FF" w:themeShade="FF"/>
          <w:sz w:val="24"/>
          <w:szCs w:val="24"/>
          <w:lang w:val="en-US"/>
        </w:rPr>
        <w:t xml:space="preserve"> to act on our irresolute judgments, because the fact of our irresolute self’s disagreement with our resolute self might generate a normative defeater for our irresolute judgments."</w:t>
      </w:r>
    </w:p>
    <w:p xmlns:wp14="http://schemas.microsoft.com/office/word/2010/wordml" w:rsidP="450E2E26" w14:paraId="08EE177F" wp14:textId="6FC78027">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b w:val="1"/>
          <w:bCs w:val="1"/>
          <w:noProof w:val="0"/>
          <w:color w:val="000000" w:themeColor="text1" w:themeTint="FF" w:themeShade="FF"/>
          <w:sz w:val="24"/>
          <w:szCs w:val="24"/>
          <w:lang w:val="en-US"/>
        </w:rPr>
        <w:t>References</w:t>
      </w:r>
      <w:r w:rsidRPr="450E2E26" w:rsidR="5F48DE70">
        <w:rPr>
          <w:rFonts w:ascii="Palatino" w:hAnsi="Palatino" w:eastAsia="Palatino" w:cs="Palatino"/>
          <w:noProof w:val="0"/>
          <w:color w:val="000000" w:themeColor="text1" w:themeTint="FF" w:themeShade="FF"/>
          <w:sz w:val="24"/>
          <w:szCs w:val="24"/>
          <w:lang w:val="en-US"/>
        </w:rPr>
        <w:t>:</w:t>
      </w:r>
    </w:p>
    <w:p xmlns:wp14="http://schemas.microsoft.com/office/word/2010/wordml" w:rsidP="450E2E26" w14:paraId="11F382CD" wp14:textId="25D88672">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Bales, Adam and Toby Handfield. 2021. “Resolutions provide reasons or: ‘how the Cookie Monster quit cookies.’” </w:t>
      </w:r>
      <w:proofErr w:type="spellStart"/>
      <w:r w:rsidRPr="450E2E26" w:rsidR="5F48DE70">
        <w:rPr>
          <w:rFonts w:ascii="Palatino" w:hAnsi="Palatino" w:eastAsia="Palatino" w:cs="Palatino"/>
          <w:i w:val="1"/>
          <w:iCs w:val="1"/>
          <w:noProof w:val="0"/>
          <w:color w:val="000000" w:themeColor="text1" w:themeTint="FF" w:themeShade="FF"/>
          <w:sz w:val="24"/>
          <w:szCs w:val="24"/>
          <w:lang w:val="en-US"/>
        </w:rPr>
        <w:t>Synthese</w:t>
      </w:r>
      <w:proofErr w:type="spellEnd"/>
      <w:r w:rsidRPr="450E2E26" w:rsidR="5F48DE70">
        <w:rPr>
          <w:rFonts w:ascii="Palatino" w:hAnsi="Palatino" w:eastAsia="Palatino" w:cs="Palatino"/>
          <w:noProof w:val="0"/>
          <w:color w:val="000000" w:themeColor="text1" w:themeTint="FF" w:themeShade="FF"/>
          <w:sz w:val="24"/>
          <w:szCs w:val="24"/>
          <w:lang w:val="en-US"/>
        </w:rPr>
        <w:t>.</w:t>
      </w:r>
    </w:p>
    <w:p xmlns:wp14="http://schemas.microsoft.com/office/word/2010/wordml" w:rsidP="450E2E26" w14:paraId="4C380CE1" wp14:textId="3A413B50">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Christensen, David. 2010. “Higher-Order Evidence.” </w:t>
      </w:r>
      <w:r w:rsidRPr="450E2E26" w:rsidR="5F48DE70">
        <w:rPr>
          <w:rFonts w:ascii="Palatino" w:hAnsi="Palatino" w:eastAsia="Palatino" w:cs="Palatino"/>
          <w:i w:val="1"/>
          <w:iCs w:val="1"/>
          <w:noProof w:val="0"/>
          <w:color w:val="000000" w:themeColor="text1" w:themeTint="FF" w:themeShade="FF"/>
          <w:sz w:val="24"/>
          <w:szCs w:val="24"/>
          <w:lang w:val="en-US"/>
        </w:rPr>
        <w:t>Philosophy and Phenomenological Research</w:t>
      </w:r>
      <w:r w:rsidRPr="450E2E26" w:rsidR="5F48DE70">
        <w:rPr>
          <w:rFonts w:ascii="Palatino" w:hAnsi="Palatino" w:eastAsia="Palatino" w:cs="Palatino"/>
          <w:noProof w:val="0"/>
          <w:color w:val="000000" w:themeColor="text1" w:themeTint="FF" w:themeShade="FF"/>
          <w:sz w:val="24"/>
          <w:szCs w:val="24"/>
          <w:lang w:val="en-US"/>
        </w:rPr>
        <w:t xml:space="preserve">, </w:t>
      </w:r>
      <w:r w:rsidRPr="450E2E26" w:rsidR="5F48DE70">
        <w:rPr>
          <w:rFonts w:ascii="Palatino" w:hAnsi="Palatino" w:eastAsia="Palatino" w:cs="Palatino"/>
          <w:b w:val="1"/>
          <w:bCs w:val="1"/>
          <w:noProof w:val="0"/>
          <w:color w:val="000000" w:themeColor="text1" w:themeTint="FF" w:themeShade="FF"/>
          <w:sz w:val="24"/>
          <w:szCs w:val="24"/>
          <w:lang w:val="en-US"/>
        </w:rPr>
        <w:t>81</w:t>
      </w:r>
      <w:r w:rsidRPr="450E2E26" w:rsidR="5F48DE70">
        <w:rPr>
          <w:rFonts w:ascii="Palatino" w:hAnsi="Palatino" w:eastAsia="Palatino" w:cs="Palatino"/>
          <w:noProof w:val="0"/>
          <w:color w:val="000000" w:themeColor="text1" w:themeTint="FF" w:themeShade="FF"/>
          <w:sz w:val="24"/>
          <w:szCs w:val="24"/>
          <w:lang w:val="en-US"/>
        </w:rPr>
        <w:t>(1): pp. 185–215.</w:t>
      </w:r>
    </w:p>
    <w:p xmlns:wp14="http://schemas.microsoft.com/office/word/2010/wordml" w:rsidP="450E2E26" w14:paraId="1390D348" wp14:textId="209790E8">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Christensen, David. 2018. “On Acting as Judge in One’s Own (Epistemic) Case.” </w:t>
      </w:r>
      <w:r w:rsidRPr="450E2E26" w:rsidR="5F48DE70">
        <w:rPr>
          <w:rFonts w:ascii="Palatino" w:hAnsi="Palatino" w:eastAsia="Palatino" w:cs="Palatino"/>
          <w:i w:val="1"/>
          <w:iCs w:val="1"/>
          <w:noProof w:val="0"/>
          <w:color w:val="000000" w:themeColor="text1" w:themeTint="FF" w:themeShade="FF"/>
          <w:sz w:val="24"/>
          <w:szCs w:val="24"/>
          <w:lang w:val="en-US"/>
        </w:rPr>
        <w:t xml:space="preserve">Proceedings and Addresses </w:t>
      </w:r>
      <w:r w:rsidRPr="450E2E26" w:rsidR="5F48DE70">
        <w:rPr>
          <w:rFonts w:ascii="Palatino" w:hAnsi="Palatino" w:eastAsia="Palatino" w:cs="Palatino"/>
          <w:noProof w:val="0"/>
          <w:color w:val="000000" w:themeColor="text1" w:themeTint="FF" w:themeShade="FF"/>
          <w:sz w:val="24"/>
          <w:szCs w:val="24"/>
          <w:lang w:val="en-US"/>
        </w:rPr>
        <w:t xml:space="preserve">of the American Philosophical Association, </w:t>
      </w:r>
      <w:r w:rsidRPr="450E2E26" w:rsidR="5F48DE70">
        <w:rPr>
          <w:rFonts w:ascii="Palatino" w:hAnsi="Palatino" w:eastAsia="Palatino" w:cs="Palatino"/>
          <w:b w:val="1"/>
          <w:bCs w:val="1"/>
          <w:noProof w:val="0"/>
          <w:color w:val="000000" w:themeColor="text1" w:themeTint="FF" w:themeShade="FF"/>
          <w:sz w:val="24"/>
          <w:szCs w:val="24"/>
          <w:lang w:val="en-US"/>
        </w:rPr>
        <w:t>93</w:t>
      </w:r>
      <w:r w:rsidRPr="450E2E26" w:rsidR="5F48DE70">
        <w:rPr>
          <w:rFonts w:ascii="Palatino" w:hAnsi="Palatino" w:eastAsia="Palatino" w:cs="Palatino"/>
          <w:noProof w:val="0"/>
          <w:color w:val="000000" w:themeColor="text1" w:themeTint="FF" w:themeShade="FF"/>
          <w:sz w:val="24"/>
          <w:szCs w:val="24"/>
          <w:lang w:val="en-US"/>
        </w:rPr>
        <w:t>(1): pp. 207-235.</w:t>
      </w:r>
    </w:p>
    <w:p xmlns:wp14="http://schemas.microsoft.com/office/word/2010/wordml" w:rsidP="450E2E26" w14:paraId="17561B81" wp14:textId="44072288">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Finkelstein, Claire. 2008. "Acting on an Intention." In Bruno Verbeek (ed.), </w:t>
      </w:r>
      <w:r w:rsidRPr="450E2E26" w:rsidR="5F48DE70">
        <w:rPr>
          <w:rFonts w:ascii="Palatino" w:hAnsi="Palatino" w:eastAsia="Palatino" w:cs="Palatino"/>
          <w:i w:val="1"/>
          <w:iCs w:val="1"/>
          <w:noProof w:val="0"/>
          <w:color w:val="000000" w:themeColor="text1" w:themeTint="FF" w:themeShade="FF"/>
          <w:sz w:val="24"/>
          <w:szCs w:val="24"/>
          <w:lang w:val="en-US"/>
        </w:rPr>
        <w:t>Reason and Intentions</w:t>
      </w:r>
      <w:r w:rsidRPr="450E2E26" w:rsidR="5F48DE70">
        <w:rPr>
          <w:rFonts w:ascii="Palatino" w:hAnsi="Palatino" w:eastAsia="Palatino" w:cs="Palatino"/>
          <w:noProof w:val="0"/>
          <w:color w:val="000000" w:themeColor="text1" w:themeTint="FF" w:themeShade="FF"/>
          <w:sz w:val="24"/>
          <w:szCs w:val="24"/>
          <w:lang w:val="en-US"/>
        </w:rPr>
        <w:t xml:space="preserve">. Burlington, VT: Ashgate, pp. 67-77. </w:t>
      </w:r>
    </w:p>
    <w:p xmlns:wp14="http://schemas.microsoft.com/office/word/2010/wordml" w:rsidP="450E2E26" w14:paraId="2C078E63" wp14:textId="6464CDE5">
      <w:pPr>
        <w:rPr>
          <w:rFonts w:ascii="Palatino" w:hAnsi="Palatino" w:eastAsia="Palatino" w:cs="Palatino"/>
          <w:noProof w:val="0"/>
          <w:color w:val="000000" w:themeColor="text1" w:themeTint="FF" w:themeShade="FF"/>
          <w:sz w:val="24"/>
          <w:szCs w:val="24"/>
          <w:lang w:val="en-US"/>
        </w:rPr>
      </w:pPr>
      <w:r w:rsidRPr="450E2E26" w:rsidR="5F48DE70">
        <w:rPr>
          <w:rFonts w:ascii="Palatino" w:hAnsi="Palatino" w:eastAsia="Palatino" w:cs="Palatino"/>
          <w:noProof w:val="0"/>
          <w:color w:val="000000" w:themeColor="text1" w:themeTint="FF" w:themeShade="FF"/>
          <w:sz w:val="24"/>
          <w:szCs w:val="24"/>
          <w:lang w:val="en-US"/>
        </w:rPr>
        <w:t xml:space="preserve">Holton, Richard. 2004. “Rational Resolve.” </w:t>
      </w:r>
      <w:r w:rsidRPr="450E2E26" w:rsidR="5F48DE70">
        <w:rPr>
          <w:rFonts w:ascii="Palatino" w:hAnsi="Palatino" w:eastAsia="Palatino" w:cs="Palatino"/>
          <w:i w:val="1"/>
          <w:iCs w:val="1"/>
          <w:noProof w:val="0"/>
          <w:color w:val="000000" w:themeColor="text1" w:themeTint="FF" w:themeShade="FF"/>
          <w:sz w:val="24"/>
          <w:szCs w:val="24"/>
          <w:lang w:val="en-US"/>
        </w:rPr>
        <w:t>The Philosophical Review</w:t>
      </w:r>
      <w:r w:rsidRPr="450E2E26" w:rsidR="5F48DE70">
        <w:rPr>
          <w:rFonts w:ascii="Palatino" w:hAnsi="Palatino" w:eastAsia="Palatino" w:cs="Palatino"/>
          <w:noProof w:val="0"/>
          <w:color w:val="000000" w:themeColor="text1" w:themeTint="FF" w:themeShade="FF"/>
          <w:sz w:val="24"/>
          <w:szCs w:val="24"/>
          <w:lang w:val="en-US"/>
        </w:rPr>
        <w:t xml:space="preserve">, </w:t>
      </w:r>
      <w:r w:rsidRPr="450E2E26" w:rsidR="5F48DE70">
        <w:rPr>
          <w:rFonts w:ascii="Palatino" w:hAnsi="Palatino" w:eastAsia="Palatino" w:cs="Palatino"/>
          <w:b w:val="1"/>
          <w:bCs w:val="1"/>
          <w:noProof w:val="0"/>
          <w:color w:val="000000" w:themeColor="text1" w:themeTint="FF" w:themeShade="FF"/>
          <w:sz w:val="24"/>
          <w:szCs w:val="24"/>
          <w:lang w:val="en-US"/>
        </w:rPr>
        <w:t>113</w:t>
      </w:r>
      <w:r w:rsidRPr="450E2E26" w:rsidR="5F48DE70">
        <w:rPr>
          <w:rFonts w:ascii="Palatino" w:hAnsi="Palatino" w:eastAsia="Palatino" w:cs="Palatino"/>
          <w:noProof w:val="0"/>
          <w:color w:val="000000" w:themeColor="text1" w:themeTint="FF" w:themeShade="FF"/>
          <w:sz w:val="24"/>
          <w:szCs w:val="24"/>
          <w:lang w:val="en-US"/>
        </w:rPr>
        <w:t>(4): pp. 507–535.</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1AD9BD"/>
    <w:rsid w:val="351AD9BD"/>
    <w:rsid w:val="450E2E26"/>
    <w:rsid w:val="5CB5BB7A"/>
    <w:rsid w:val="5F48DE70"/>
    <w:rsid w:val="638D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D9BD"/>
  <w15:chartTrackingRefBased/>
  <w15:docId w15:val="{0D61AC6A-E9C4-4C0C-8F89-93B35D3B6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2021-10-19T02:38:14.1980798Z</dcterms:created>
  <dcterms:modified xsi:type="dcterms:W3CDTF">2021-10-19T02:40:15.7869718Z</dcterms:modified>
  <dc:creator>Dashiell Shulman</dc:creator>
  <lastModifiedBy>Dashiell Shulman</lastModifiedBy>
</coreProperties>
</file>