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74" w:rsidRPr="00D60974" w:rsidRDefault="00D60974" w:rsidP="00D60974">
      <w:pPr>
        <w:pStyle w:val="ListParagraph"/>
        <w:ind w:left="360"/>
        <w:outlineLvl w:val="0"/>
        <w:rPr>
          <w:rFonts w:cstheme="minorHAnsi"/>
          <w:b/>
          <w:bCs/>
          <w:color w:val="FF0000"/>
        </w:rPr>
      </w:pPr>
      <w:bookmarkStart w:id="0" w:name="_Toc102556796"/>
      <w:bookmarkStart w:id="1" w:name="_GoBack"/>
      <w:r w:rsidRPr="00D60974">
        <w:rPr>
          <w:rFonts w:cstheme="minorHAnsi"/>
          <w:b/>
          <w:bCs/>
          <w:color w:val="FF0000"/>
        </w:rPr>
        <w:t>Fail IFP Requirements Progression Test</w:t>
      </w:r>
      <w:r w:rsidRPr="00D60974">
        <w:rPr>
          <w:rFonts w:cstheme="minorHAnsi"/>
          <w:b/>
          <w:bCs/>
          <w:color w:val="FF0000"/>
        </w:rPr>
        <w:tab/>
      </w:r>
      <w:r w:rsidRPr="00D60974">
        <w:rPr>
          <w:rFonts w:cstheme="minorHAnsi"/>
          <w:b/>
          <w:bCs/>
          <w:color w:val="FF0000"/>
        </w:rPr>
        <w:tab/>
      </w:r>
      <w:r w:rsidRPr="00D60974">
        <w:rPr>
          <w:rFonts w:cstheme="minorHAnsi"/>
          <w:b/>
          <w:bCs/>
          <w:color w:val="FF0000"/>
        </w:rPr>
        <w:tab/>
      </w:r>
      <w:r w:rsidRPr="00D60974">
        <w:rPr>
          <w:rFonts w:cstheme="minorHAnsi"/>
          <w:b/>
          <w:bCs/>
          <w:color w:val="FF0000"/>
        </w:rPr>
        <w:tab/>
        <w:t>PIT Code: FRPT</w:t>
      </w:r>
      <w:bookmarkEnd w:id="0"/>
    </w:p>
    <w:bookmarkEnd w:id="1"/>
    <w:p w:rsidR="00D60974" w:rsidRDefault="00D60974" w:rsidP="00D60974">
      <w:pPr>
        <w:pStyle w:val="ListParagraph"/>
        <w:spacing w:after="120"/>
        <w:ind w:left="360"/>
        <w:rPr>
          <w:rFonts w:cstheme="minorHAnsi"/>
        </w:rPr>
      </w:pPr>
      <w:r>
        <w:rPr>
          <w:rFonts w:cstheme="minorHAnsi"/>
        </w:rPr>
        <w:t xml:space="preserve">- </w:t>
      </w:r>
      <w:proofErr w:type="gramStart"/>
      <w:r w:rsidRPr="00424B16">
        <w:rPr>
          <w:rFonts w:cstheme="minorHAnsi"/>
        </w:rPr>
        <w:t>exclusively</w:t>
      </w:r>
      <w:proofErr w:type="gramEnd"/>
      <w:r w:rsidRPr="00424B16">
        <w:rPr>
          <w:rFonts w:cstheme="minorHAnsi"/>
        </w:rPr>
        <w:t xml:space="preserve"> used for the International Foundation Programme</w:t>
      </w:r>
    </w:p>
    <w:tbl>
      <w:tblPr>
        <w:tblStyle w:val="TableGrid"/>
        <w:tblW w:w="10632" w:type="dxa"/>
        <w:tblInd w:w="-572" w:type="dxa"/>
        <w:tblLook w:val="04A0" w:firstRow="1" w:lastRow="0" w:firstColumn="1" w:lastColumn="0" w:noHBand="0" w:noVBand="1"/>
      </w:tblPr>
      <w:tblGrid>
        <w:gridCol w:w="1637"/>
        <w:gridCol w:w="990"/>
        <w:gridCol w:w="1268"/>
        <w:gridCol w:w="1132"/>
        <w:gridCol w:w="1062"/>
        <w:gridCol w:w="999"/>
        <w:gridCol w:w="1177"/>
        <w:gridCol w:w="683"/>
        <w:gridCol w:w="1684"/>
      </w:tblGrid>
      <w:tr w:rsidR="00D60974" w:rsidRPr="00486C4E" w:rsidTr="00C71743">
        <w:tc>
          <w:tcPr>
            <w:tcW w:w="10632" w:type="dxa"/>
            <w:gridSpan w:val="9"/>
          </w:tcPr>
          <w:p w:rsidR="00D60974" w:rsidRDefault="00D60974" w:rsidP="00C71743">
            <w:pPr>
              <w:rPr>
                <w:b/>
                <w:bCs/>
                <w:sz w:val="18"/>
                <w:szCs w:val="18"/>
              </w:rPr>
            </w:pPr>
            <w:r>
              <w:rPr>
                <w:b/>
                <w:bCs/>
                <w:sz w:val="18"/>
                <w:szCs w:val="18"/>
              </w:rPr>
              <w:t>Your Results: 2022</w:t>
            </w:r>
          </w:p>
          <w:p w:rsidR="00D60974" w:rsidRPr="00BD0803" w:rsidRDefault="00D60974" w:rsidP="00C71743">
            <w:pPr>
              <w:rPr>
                <w:b/>
                <w:bCs/>
                <w:sz w:val="18"/>
                <w:szCs w:val="18"/>
              </w:rPr>
            </w:pPr>
          </w:p>
          <w:p w:rsidR="00D60974" w:rsidRPr="00486C4E" w:rsidRDefault="00D60974"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D60974" w:rsidRDefault="00D60974" w:rsidP="00C71743">
            <w:pPr>
              <w:rPr>
                <w:sz w:val="18"/>
                <w:szCs w:val="18"/>
              </w:rPr>
            </w:pPr>
          </w:p>
          <w:p w:rsidR="00D60974" w:rsidRPr="00486C4E" w:rsidRDefault="00D60974"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D60974" w:rsidRDefault="00D60974" w:rsidP="00C71743">
            <w:pPr>
              <w:rPr>
                <w:sz w:val="18"/>
                <w:szCs w:val="18"/>
              </w:rPr>
            </w:pPr>
          </w:p>
          <w:p w:rsidR="00D60974" w:rsidRPr="00486C4E" w:rsidRDefault="00D60974" w:rsidP="00C71743">
            <w:pPr>
              <w:rPr>
                <w:sz w:val="18"/>
                <w:szCs w:val="18"/>
              </w:rPr>
            </w:pPr>
            <w:r w:rsidRPr="00486C4E">
              <w:rPr>
                <w:sz w:val="18"/>
                <w:szCs w:val="18"/>
              </w:rPr>
              <w:t xml:space="preserve">Student number: </w:t>
            </w:r>
            <w:r>
              <w:rPr>
                <w:sz w:val="18"/>
                <w:szCs w:val="18"/>
              </w:rPr>
              <w:t>12345678</w:t>
            </w:r>
          </w:p>
          <w:p w:rsidR="00D60974" w:rsidRDefault="00D60974" w:rsidP="00C71743">
            <w:pPr>
              <w:rPr>
                <w:sz w:val="18"/>
                <w:szCs w:val="18"/>
              </w:rPr>
            </w:pPr>
            <w:r>
              <w:rPr>
                <w:sz w:val="18"/>
                <w:szCs w:val="18"/>
              </w:rPr>
              <w:t xml:space="preserve">Course: </w:t>
            </w:r>
            <w:proofErr w:type="spellStart"/>
            <w:r>
              <w:rPr>
                <w:sz w:val="18"/>
                <w:szCs w:val="18"/>
              </w:rPr>
              <w:t>CourseTitle</w:t>
            </w:r>
            <w:proofErr w:type="spellEnd"/>
          </w:p>
          <w:p w:rsidR="00D60974" w:rsidRPr="00486C4E" w:rsidRDefault="00D60974" w:rsidP="00C71743">
            <w:pPr>
              <w:rPr>
                <w:sz w:val="18"/>
                <w:szCs w:val="18"/>
              </w:rPr>
            </w:pPr>
          </w:p>
        </w:tc>
      </w:tr>
      <w:tr w:rsidR="00D60974" w:rsidRPr="004969A1" w:rsidTr="00C71743">
        <w:tc>
          <w:tcPr>
            <w:tcW w:w="10632" w:type="dxa"/>
            <w:gridSpan w:val="9"/>
            <w:vAlign w:val="bottom"/>
          </w:tcPr>
          <w:p w:rsidR="00D60974" w:rsidRDefault="00D60974" w:rsidP="00C71743">
            <w:pPr>
              <w:rPr>
                <w:rFonts w:ascii="Calibri" w:eastAsia="Times New Roman" w:hAnsi="Calibri" w:cs="Calibri"/>
                <w:sz w:val="18"/>
                <w:szCs w:val="18"/>
                <w:lang w:eastAsia="en-GB"/>
              </w:rPr>
            </w:pPr>
            <w:r w:rsidRPr="00771523">
              <w:rPr>
                <w:rFonts w:ascii="Calibri" w:eastAsia="Times New Roman" w:hAnsi="Calibri" w:cs="Calibri"/>
                <w:sz w:val="18"/>
                <w:szCs w:val="18"/>
                <w:lang w:eastAsia="en-GB"/>
              </w:rPr>
              <w:t>I am writing to inform you that although you have passed your foundation year, you have not met the progression grade required for automatic acceptance to your desired Degree course.</w:t>
            </w:r>
            <w:r w:rsidRPr="00771523">
              <w:rPr>
                <w:rFonts w:ascii="Calibri" w:eastAsia="Times New Roman" w:hAnsi="Calibri" w:cs="Calibri"/>
                <w:sz w:val="18"/>
                <w:szCs w:val="18"/>
                <w:lang w:eastAsia="en-GB"/>
              </w:rPr>
              <w:br/>
            </w:r>
            <w:r w:rsidRPr="00771523">
              <w:rPr>
                <w:rFonts w:ascii="Calibri" w:eastAsia="Times New Roman" w:hAnsi="Calibri" w:cs="Calibri"/>
                <w:sz w:val="18"/>
                <w:szCs w:val="18"/>
                <w:lang w:eastAsia="en-GB"/>
              </w:rPr>
              <w:br/>
              <w:t>The decision of the Board of Examiners is that you be permitted to undertake reassessment in the following modules in order to improve your chances of progression. This is known as a Progression Test.</w:t>
            </w:r>
          </w:p>
          <w:p w:rsidR="00D60974" w:rsidRPr="00771523" w:rsidRDefault="00D60974" w:rsidP="00C71743">
            <w:pPr>
              <w:rPr>
                <w:rFonts w:ascii="Calibri" w:eastAsia="Times New Roman" w:hAnsi="Calibri" w:cs="Calibri"/>
                <w:sz w:val="18"/>
                <w:szCs w:val="18"/>
                <w:lang w:eastAsia="en-GB"/>
              </w:rPr>
            </w:pPr>
            <w:r w:rsidRPr="00771523">
              <w:rPr>
                <w:rFonts w:ascii="Calibri" w:eastAsia="Times New Roman" w:hAnsi="Calibri" w:cs="Calibri"/>
                <w:sz w:val="18"/>
                <w:szCs w:val="18"/>
                <w:lang w:eastAsia="en-GB"/>
              </w:rPr>
              <w:br/>
              <w:t xml:space="preserve">• ABCD8989 – Module title </w:t>
            </w:r>
            <w:proofErr w:type="spellStart"/>
            <w:r w:rsidRPr="00771523">
              <w:rPr>
                <w:rFonts w:ascii="Calibri" w:eastAsia="Times New Roman" w:hAnsi="Calibri" w:cs="Calibri"/>
                <w:sz w:val="18"/>
                <w:szCs w:val="18"/>
                <w:lang w:eastAsia="en-GB"/>
              </w:rPr>
              <w:t>xxxx</w:t>
            </w:r>
            <w:proofErr w:type="spellEnd"/>
          </w:p>
          <w:p w:rsidR="00D60974" w:rsidRPr="00771523" w:rsidRDefault="00D60974" w:rsidP="00C71743">
            <w:pPr>
              <w:rPr>
                <w:rFonts w:ascii="Calibri" w:eastAsia="Times New Roman" w:hAnsi="Calibri" w:cs="Calibri"/>
                <w:sz w:val="18"/>
                <w:szCs w:val="18"/>
                <w:lang w:eastAsia="en-GB"/>
              </w:rPr>
            </w:pPr>
          </w:p>
          <w:p w:rsidR="00D60974" w:rsidRDefault="00D60974" w:rsidP="00C71743">
            <w:pPr>
              <w:pStyle w:val="ListParagraph"/>
              <w:ind w:left="0"/>
              <w:rPr>
                <w:rFonts w:ascii="Calibri" w:eastAsia="Times New Roman" w:hAnsi="Calibri" w:cs="Calibri"/>
                <w:color w:val="7030A0"/>
                <w:sz w:val="18"/>
                <w:szCs w:val="18"/>
                <w:lang w:eastAsia="en-GB"/>
              </w:rPr>
            </w:pPr>
            <w:r w:rsidRPr="00771523">
              <w:rPr>
                <w:rFonts w:ascii="Calibri" w:eastAsia="Times New Roman" w:hAnsi="Calibri" w:cs="Calibri"/>
                <w:sz w:val="18"/>
                <w:szCs w:val="18"/>
                <w:lang w:eastAsia="en-GB"/>
              </w:rPr>
              <w:t xml:space="preserve">The marks achieved by reassessment will constitute 100% of the marks for the module. Any previous marks achieved for these modules will not be carried forward unless the original mark awarded is higher than the Progression Test mark. Therefore, the final module mark for each of the above modules will be the highest mark achieved. It will be used for progression and will be recorded on your transcript which will be available under My Results/ My Transcript on </w:t>
            </w:r>
            <w:hyperlink r:id="rId5" w:history="1">
              <w:r w:rsidRPr="00AD4E2C">
                <w:rPr>
                  <w:rStyle w:val="Hyperlink"/>
                  <w:rFonts w:ascii="Calibri" w:eastAsia="Times New Roman" w:hAnsi="Calibri" w:cs="Calibri"/>
                  <w:sz w:val="18"/>
                  <w:szCs w:val="18"/>
                  <w:lang w:eastAsia="en-GB"/>
                </w:rPr>
                <w:t>Kent Vision</w:t>
              </w:r>
            </w:hyperlink>
            <w:r w:rsidRPr="003E38F6">
              <w:rPr>
                <w:rFonts w:ascii="Calibri" w:eastAsia="Times New Roman" w:hAnsi="Calibri" w:cs="Calibri"/>
                <w:color w:val="7030A0"/>
                <w:sz w:val="18"/>
                <w:szCs w:val="18"/>
                <w:lang w:eastAsia="en-GB"/>
              </w:rPr>
              <w:t>.</w:t>
            </w:r>
          </w:p>
          <w:p w:rsidR="00D60974" w:rsidRPr="004969A1" w:rsidRDefault="00D60974" w:rsidP="00C71743">
            <w:pPr>
              <w:pStyle w:val="ListParagraph"/>
              <w:ind w:left="0"/>
              <w:rPr>
                <w:b/>
                <w:bCs/>
                <w:sz w:val="18"/>
                <w:szCs w:val="18"/>
              </w:rPr>
            </w:pPr>
          </w:p>
        </w:tc>
      </w:tr>
      <w:tr w:rsidR="00D60974" w:rsidRPr="003E0D24" w:rsidTr="00C71743">
        <w:tc>
          <w:tcPr>
            <w:tcW w:w="10632" w:type="dxa"/>
            <w:gridSpan w:val="9"/>
          </w:tcPr>
          <w:p w:rsidR="00D60974" w:rsidRDefault="00D60974" w:rsidP="00C71743">
            <w:pPr>
              <w:rPr>
                <w:sz w:val="18"/>
                <w:szCs w:val="18"/>
              </w:rPr>
            </w:pPr>
            <w:r w:rsidRPr="0013594E">
              <w:rPr>
                <w:sz w:val="18"/>
                <w:szCs w:val="18"/>
              </w:rPr>
              <w:t xml:space="preserve">For coursework reassessment, you </w:t>
            </w:r>
            <w:r w:rsidRPr="0013594E">
              <w:rPr>
                <w:b/>
                <w:bCs/>
                <w:sz w:val="18"/>
                <w:szCs w:val="18"/>
              </w:rPr>
              <w:t>must</w:t>
            </w:r>
            <w:r w:rsidRPr="0013594E">
              <w:rPr>
                <w:sz w:val="18"/>
                <w:szCs w:val="18"/>
              </w:rPr>
              <w:t xml:space="preserve"> click </w:t>
            </w:r>
            <w:hyperlink r:id="rId6" w:history="1">
              <w:r w:rsidRPr="00EA1FA7">
                <w:rPr>
                  <w:rStyle w:val="Hyperlink"/>
                  <w:sz w:val="18"/>
                  <w:szCs w:val="18"/>
                </w:rPr>
                <w:t>here</w:t>
              </w:r>
            </w:hyperlink>
            <w:r w:rsidRPr="004C2C0E">
              <w:rPr>
                <w:color w:val="7030A0"/>
                <w:sz w:val="18"/>
                <w:szCs w:val="18"/>
              </w:rPr>
              <w:t xml:space="preserve"> </w:t>
            </w:r>
            <w:r w:rsidRPr="0013594E">
              <w:rPr>
                <w:sz w:val="18"/>
                <w:szCs w:val="18"/>
              </w:rPr>
              <w:t>for details of the specific reassessment requirements and submission deadlines for each module.</w:t>
            </w:r>
          </w:p>
          <w:p w:rsidR="00D60974" w:rsidRPr="003E0D24" w:rsidRDefault="00D60974" w:rsidP="00C71743">
            <w:pPr>
              <w:rPr>
                <w:b/>
                <w:bCs/>
                <w:sz w:val="18"/>
                <w:szCs w:val="18"/>
              </w:rPr>
            </w:pPr>
          </w:p>
        </w:tc>
      </w:tr>
      <w:tr w:rsidR="00D60974" w:rsidRPr="00BF2EDC" w:rsidTr="00C71743">
        <w:tc>
          <w:tcPr>
            <w:tcW w:w="10632" w:type="dxa"/>
            <w:gridSpan w:val="9"/>
          </w:tcPr>
          <w:p w:rsidR="00D60974" w:rsidRDefault="00D60974" w:rsidP="00C71743">
            <w:pPr>
              <w:rPr>
                <w:color w:val="7030A0"/>
                <w:sz w:val="18"/>
                <w:szCs w:val="18"/>
              </w:rPr>
            </w:pPr>
            <w:r w:rsidRPr="00642DC7">
              <w:rPr>
                <w:sz w:val="18"/>
                <w:szCs w:val="18"/>
              </w:rPr>
              <w:t xml:space="preserve">If you are required to take an examination, please note that reassessment </w:t>
            </w:r>
            <w:r>
              <w:rPr>
                <w:sz w:val="18"/>
                <w:szCs w:val="18"/>
              </w:rPr>
              <w:t>examinations are due between 01/Aug/2022 and 12/Aug/2022</w:t>
            </w:r>
            <w:r w:rsidRPr="00642DC7">
              <w:rPr>
                <w:sz w:val="18"/>
                <w:szCs w:val="18"/>
              </w:rPr>
              <w:t xml:space="preserve">. All information regarding examinations is available </w:t>
            </w:r>
            <w:hyperlink r:id="rId7" w:history="1">
              <w:r w:rsidRPr="00702D12">
                <w:rPr>
                  <w:rStyle w:val="Hyperlink"/>
                  <w:sz w:val="18"/>
                  <w:szCs w:val="18"/>
                </w:rPr>
                <w:t>here</w:t>
              </w:r>
            </w:hyperlink>
            <w:r w:rsidRPr="006D5F2C">
              <w:rPr>
                <w:color w:val="7030A0"/>
                <w:sz w:val="18"/>
                <w:szCs w:val="18"/>
              </w:rPr>
              <w:t>.</w:t>
            </w:r>
            <w:r w:rsidRPr="00F774A5">
              <w:rPr>
                <w:color w:val="7030A0"/>
                <w:sz w:val="18"/>
                <w:szCs w:val="18"/>
              </w:rPr>
              <w:t xml:space="preserve"> </w:t>
            </w:r>
            <w:r w:rsidRPr="00642DC7">
              <w:rPr>
                <w:sz w:val="18"/>
                <w:szCs w:val="18"/>
              </w:rPr>
              <w:t xml:space="preserve">Your </w:t>
            </w:r>
            <w:proofErr w:type="spellStart"/>
            <w:r w:rsidRPr="00642DC7">
              <w:rPr>
                <w:sz w:val="18"/>
                <w:szCs w:val="18"/>
              </w:rPr>
              <w:t>resit</w:t>
            </w:r>
            <w:proofErr w:type="spellEnd"/>
            <w:r w:rsidRPr="00642DC7">
              <w:rPr>
                <w:sz w:val="18"/>
                <w:szCs w:val="18"/>
              </w:rPr>
              <w:t xml:space="preserve"> timetable will be available on </w:t>
            </w:r>
            <w:hyperlink r:id="rId8" w:history="1">
              <w:r w:rsidRPr="00702D12">
                <w:rPr>
                  <w:rStyle w:val="Hyperlink"/>
                  <w:sz w:val="18"/>
                  <w:szCs w:val="18"/>
                </w:rPr>
                <w:t>KentVision</w:t>
              </w:r>
            </w:hyperlink>
            <w:r>
              <w:rPr>
                <w:color w:val="7030A0"/>
                <w:sz w:val="18"/>
                <w:szCs w:val="18"/>
              </w:rPr>
              <w:t xml:space="preserve"> </w:t>
            </w:r>
            <w:r w:rsidRPr="00642DC7">
              <w:rPr>
                <w:sz w:val="18"/>
                <w:szCs w:val="18"/>
              </w:rPr>
              <w:t>by the end of July.</w:t>
            </w:r>
          </w:p>
          <w:p w:rsidR="00D60974" w:rsidRPr="00E27611" w:rsidRDefault="00D60974" w:rsidP="00C71743">
            <w:pPr>
              <w:rPr>
                <w:rFonts w:ascii="Calibri" w:eastAsia="Times New Roman" w:hAnsi="Calibri" w:cs="Calibri"/>
                <w:sz w:val="18"/>
                <w:szCs w:val="18"/>
                <w:lang w:eastAsia="en-GB"/>
              </w:rPr>
            </w:pPr>
          </w:p>
        </w:tc>
      </w:tr>
      <w:tr w:rsidR="00D60974" w:rsidRPr="00BF2EDC" w:rsidTr="00C71743">
        <w:tc>
          <w:tcPr>
            <w:tcW w:w="10632" w:type="dxa"/>
            <w:gridSpan w:val="9"/>
          </w:tcPr>
          <w:p w:rsidR="00D60974" w:rsidRPr="00BF2EDC" w:rsidRDefault="00D60974"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D60974" w:rsidRPr="00BF2EDC" w:rsidRDefault="00D60974" w:rsidP="00C71743">
            <w:pPr>
              <w:rPr>
                <w:b/>
                <w:bCs/>
                <w:sz w:val="18"/>
                <w:szCs w:val="18"/>
              </w:rPr>
            </w:pPr>
          </w:p>
        </w:tc>
      </w:tr>
      <w:tr w:rsidR="00D60974" w:rsidRPr="00D6332E" w:rsidTr="00C71743">
        <w:tc>
          <w:tcPr>
            <w:tcW w:w="10632" w:type="dxa"/>
            <w:gridSpan w:val="9"/>
          </w:tcPr>
          <w:p w:rsidR="00D60974" w:rsidRPr="00D6332E" w:rsidRDefault="00D60974" w:rsidP="00C71743">
            <w:pPr>
              <w:rPr>
                <w:b/>
                <w:bCs/>
                <w:sz w:val="18"/>
                <w:szCs w:val="18"/>
              </w:rPr>
            </w:pPr>
            <w:r w:rsidRPr="00D6332E">
              <w:rPr>
                <w:b/>
                <w:bCs/>
                <w:sz w:val="18"/>
                <w:szCs w:val="18"/>
              </w:rPr>
              <w:t>Module Results</w:t>
            </w:r>
          </w:p>
        </w:tc>
      </w:tr>
      <w:tr w:rsidR="00D60974" w:rsidRPr="00D6332E" w:rsidTr="00C71743">
        <w:tc>
          <w:tcPr>
            <w:tcW w:w="1637" w:type="dxa"/>
          </w:tcPr>
          <w:p w:rsidR="00D60974" w:rsidRPr="00D6332E" w:rsidRDefault="00D60974" w:rsidP="00C71743">
            <w:pPr>
              <w:rPr>
                <w:b/>
                <w:bCs/>
                <w:sz w:val="18"/>
                <w:szCs w:val="18"/>
              </w:rPr>
            </w:pPr>
            <w:r w:rsidRPr="00D6332E">
              <w:rPr>
                <w:b/>
                <w:bCs/>
                <w:sz w:val="18"/>
                <w:szCs w:val="18"/>
              </w:rPr>
              <w:t>Stage</w:t>
            </w:r>
          </w:p>
        </w:tc>
        <w:tc>
          <w:tcPr>
            <w:tcW w:w="990" w:type="dxa"/>
          </w:tcPr>
          <w:p w:rsidR="00D60974" w:rsidRPr="00D6332E" w:rsidRDefault="00D60974" w:rsidP="00C71743">
            <w:pPr>
              <w:rPr>
                <w:b/>
                <w:bCs/>
                <w:sz w:val="18"/>
                <w:szCs w:val="18"/>
              </w:rPr>
            </w:pPr>
            <w:r w:rsidRPr="00D6332E">
              <w:rPr>
                <w:b/>
                <w:bCs/>
                <w:sz w:val="18"/>
                <w:szCs w:val="18"/>
              </w:rPr>
              <w:t>Module Code</w:t>
            </w:r>
          </w:p>
        </w:tc>
        <w:tc>
          <w:tcPr>
            <w:tcW w:w="1268" w:type="dxa"/>
          </w:tcPr>
          <w:p w:rsidR="00D60974" w:rsidRPr="00D6332E" w:rsidRDefault="00D60974" w:rsidP="00C71743">
            <w:pPr>
              <w:rPr>
                <w:b/>
                <w:bCs/>
                <w:sz w:val="18"/>
                <w:szCs w:val="18"/>
              </w:rPr>
            </w:pPr>
            <w:r w:rsidRPr="00D6332E">
              <w:rPr>
                <w:b/>
                <w:bCs/>
                <w:sz w:val="18"/>
                <w:szCs w:val="18"/>
              </w:rPr>
              <w:t>Module Name</w:t>
            </w:r>
          </w:p>
        </w:tc>
        <w:tc>
          <w:tcPr>
            <w:tcW w:w="1132" w:type="dxa"/>
            <w:vAlign w:val="center"/>
          </w:tcPr>
          <w:p w:rsidR="00D60974" w:rsidRPr="00B21F68" w:rsidRDefault="00D60974"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D60974" w:rsidRPr="00B21F68" w:rsidRDefault="00D60974" w:rsidP="00C71743">
            <w:pPr>
              <w:rPr>
                <w:rFonts w:cstheme="minorHAnsi"/>
                <w:b/>
                <w:bCs/>
                <w:sz w:val="18"/>
                <w:szCs w:val="18"/>
              </w:rPr>
            </w:pPr>
            <w:r w:rsidRPr="00B21F68">
              <w:rPr>
                <w:rFonts w:cstheme="minorHAnsi"/>
                <w:b/>
                <w:bCs/>
                <w:sz w:val="18"/>
                <w:szCs w:val="18"/>
              </w:rPr>
              <w:t>Project Mark</w:t>
            </w:r>
          </w:p>
        </w:tc>
        <w:tc>
          <w:tcPr>
            <w:tcW w:w="999" w:type="dxa"/>
            <w:vAlign w:val="center"/>
          </w:tcPr>
          <w:p w:rsidR="00D60974" w:rsidRPr="00B21F68" w:rsidRDefault="00D60974" w:rsidP="00C71743">
            <w:pPr>
              <w:rPr>
                <w:rFonts w:cstheme="minorHAnsi"/>
                <w:b/>
                <w:bCs/>
                <w:sz w:val="18"/>
                <w:szCs w:val="18"/>
              </w:rPr>
            </w:pPr>
            <w:r w:rsidRPr="00B21F68">
              <w:rPr>
                <w:rFonts w:cstheme="minorHAnsi"/>
                <w:b/>
                <w:bCs/>
                <w:sz w:val="18"/>
                <w:szCs w:val="18"/>
              </w:rPr>
              <w:t>Exam Mark</w:t>
            </w:r>
          </w:p>
        </w:tc>
        <w:tc>
          <w:tcPr>
            <w:tcW w:w="1177" w:type="dxa"/>
            <w:vAlign w:val="center"/>
          </w:tcPr>
          <w:p w:rsidR="00D60974" w:rsidRPr="00B21F68" w:rsidRDefault="00D60974" w:rsidP="00C71743">
            <w:pPr>
              <w:rPr>
                <w:rFonts w:cstheme="minorHAnsi"/>
                <w:b/>
                <w:bCs/>
                <w:sz w:val="18"/>
                <w:szCs w:val="18"/>
              </w:rPr>
            </w:pPr>
            <w:r w:rsidRPr="00B21F68">
              <w:rPr>
                <w:rFonts w:cstheme="minorHAnsi"/>
                <w:b/>
                <w:bCs/>
                <w:sz w:val="18"/>
                <w:szCs w:val="18"/>
              </w:rPr>
              <w:t>Final Mark</w:t>
            </w:r>
          </w:p>
        </w:tc>
        <w:tc>
          <w:tcPr>
            <w:tcW w:w="683" w:type="dxa"/>
            <w:vAlign w:val="center"/>
          </w:tcPr>
          <w:p w:rsidR="00D60974" w:rsidRPr="00B21F68" w:rsidRDefault="00D60974" w:rsidP="00C71743">
            <w:pPr>
              <w:rPr>
                <w:rFonts w:cstheme="minorHAnsi"/>
                <w:b/>
                <w:bCs/>
                <w:sz w:val="18"/>
                <w:szCs w:val="18"/>
              </w:rPr>
            </w:pPr>
            <w:r w:rsidRPr="00B21F68">
              <w:rPr>
                <w:rFonts w:cstheme="minorHAnsi"/>
                <w:b/>
                <w:bCs/>
                <w:sz w:val="18"/>
                <w:szCs w:val="18"/>
              </w:rPr>
              <w:t>Result</w:t>
            </w:r>
          </w:p>
        </w:tc>
        <w:tc>
          <w:tcPr>
            <w:tcW w:w="1684" w:type="dxa"/>
            <w:vAlign w:val="center"/>
          </w:tcPr>
          <w:p w:rsidR="00D60974" w:rsidRPr="00B21F68" w:rsidRDefault="00D60974" w:rsidP="00C71743">
            <w:pPr>
              <w:rPr>
                <w:rFonts w:cstheme="minorHAnsi"/>
                <w:b/>
                <w:bCs/>
                <w:sz w:val="18"/>
                <w:szCs w:val="18"/>
              </w:rPr>
            </w:pPr>
            <w:r w:rsidRPr="00B21F68">
              <w:rPr>
                <w:rFonts w:cstheme="minorHAnsi"/>
                <w:b/>
                <w:bCs/>
                <w:sz w:val="18"/>
                <w:szCs w:val="18"/>
              </w:rPr>
              <w:t>Credits Awarded</w:t>
            </w:r>
          </w:p>
        </w:tc>
      </w:tr>
      <w:tr w:rsidR="00D60974" w:rsidRPr="00D6332E" w:rsidTr="00C71743">
        <w:tc>
          <w:tcPr>
            <w:tcW w:w="1637" w:type="dxa"/>
          </w:tcPr>
          <w:p w:rsidR="00D60974" w:rsidRPr="00D6332E" w:rsidRDefault="00D60974" w:rsidP="00C71743">
            <w:pPr>
              <w:rPr>
                <w:b/>
                <w:bCs/>
                <w:sz w:val="18"/>
                <w:szCs w:val="18"/>
              </w:rPr>
            </w:pPr>
            <w:r w:rsidRPr="00D6332E">
              <w:rPr>
                <w:sz w:val="18"/>
                <w:szCs w:val="18"/>
              </w:rPr>
              <w:t>Undergrad Stage x</w:t>
            </w:r>
          </w:p>
        </w:tc>
        <w:tc>
          <w:tcPr>
            <w:tcW w:w="990" w:type="dxa"/>
          </w:tcPr>
          <w:p w:rsidR="00D60974" w:rsidRPr="00D6332E" w:rsidRDefault="00D60974" w:rsidP="00C71743">
            <w:pPr>
              <w:rPr>
                <w:b/>
                <w:bCs/>
                <w:sz w:val="18"/>
                <w:szCs w:val="18"/>
              </w:rPr>
            </w:pPr>
            <w:r w:rsidRPr="00D6332E">
              <w:rPr>
                <w:rFonts w:ascii="Calibri" w:eastAsia="Times New Roman" w:hAnsi="Calibri" w:cs="Calibri"/>
                <w:sz w:val="18"/>
                <w:szCs w:val="18"/>
                <w:lang w:eastAsia="en-GB"/>
              </w:rPr>
              <w:t>ABCD1234</w:t>
            </w:r>
          </w:p>
        </w:tc>
        <w:tc>
          <w:tcPr>
            <w:tcW w:w="1268" w:type="dxa"/>
          </w:tcPr>
          <w:p w:rsidR="00D60974" w:rsidRPr="00D6332E" w:rsidRDefault="00D60974" w:rsidP="00C71743">
            <w:pPr>
              <w:rPr>
                <w:b/>
                <w:bCs/>
                <w:sz w:val="18"/>
                <w:szCs w:val="18"/>
              </w:rPr>
            </w:pPr>
            <w:r w:rsidRPr="00D6332E">
              <w:rPr>
                <w:rFonts w:ascii="Calibri" w:eastAsia="Times New Roman" w:hAnsi="Calibri" w:cs="Calibri"/>
                <w:sz w:val="18"/>
                <w:szCs w:val="18"/>
                <w:lang w:eastAsia="en-GB"/>
              </w:rPr>
              <w:t>Module title 1</w:t>
            </w:r>
          </w:p>
        </w:tc>
        <w:tc>
          <w:tcPr>
            <w:tcW w:w="1132" w:type="dxa"/>
          </w:tcPr>
          <w:p w:rsidR="00D60974" w:rsidRPr="00D6332E" w:rsidRDefault="00D60974" w:rsidP="00C71743">
            <w:pPr>
              <w:rPr>
                <w:rFonts w:ascii="Calibri" w:eastAsia="Times New Roman" w:hAnsi="Calibri" w:cs="Calibri"/>
                <w:sz w:val="18"/>
                <w:szCs w:val="18"/>
                <w:lang w:eastAsia="en-GB"/>
              </w:rPr>
            </w:pPr>
          </w:p>
        </w:tc>
        <w:tc>
          <w:tcPr>
            <w:tcW w:w="1062" w:type="dxa"/>
          </w:tcPr>
          <w:p w:rsidR="00D60974" w:rsidRPr="00D6332E" w:rsidRDefault="00D60974" w:rsidP="00C71743">
            <w:pPr>
              <w:rPr>
                <w:rFonts w:ascii="Calibri" w:eastAsia="Times New Roman" w:hAnsi="Calibri" w:cs="Calibri"/>
                <w:sz w:val="18"/>
                <w:szCs w:val="18"/>
                <w:lang w:eastAsia="en-GB"/>
              </w:rPr>
            </w:pPr>
          </w:p>
        </w:tc>
        <w:tc>
          <w:tcPr>
            <w:tcW w:w="999"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D60974" w:rsidRPr="00D6332E" w:rsidTr="00C71743">
        <w:tc>
          <w:tcPr>
            <w:tcW w:w="1637" w:type="dxa"/>
          </w:tcPr>
          <w:p w:rsidR="00D60974" w:rsidRPr="00D6332E" w:rsidRDefault="00D60974" w:rsidP="00C71743">
            <w:pPr>
              <w:rPr>
                <w:b/>
                <w:bCs/>
                <w:sz w:val="18"/>
                <w:szCs w:val="18"/>
              </w:rPr>
            </w:pPr>
            <w:r w:rsidRPr="00D6332E">
              <w:rPr>
                <w:sz w:val="18"/>
                <w:szCs w:val="18"/>
              </w:rPr>
              <w:t>Undergrad Stage x</w:t>
            </w:r>
          </w:p>
        </w:tc>
        <w:tc>
          <w:tcPr>
            <w:tcW w:w="990" w:type="dxa"/>
          </w:tcPr>
          <w:p w:rsidR="00D60974" w:rsidRPr="00D6332E" w:rsidRDefault="00D60974" w:rsidP="00C71743">
            <w:pPr>
              <w:rPr>
                <w:b/>
                <w:bCs/>
                <w:sz w:val="18"/>
                <w:szCs w:val="18"/>
              </w:rPr>
            </w:pPr>
            <w:r w:rsidRPr="00D6332E">
              <w:rPr>
                <w:rFonts w:ascii="Calibri" w:eastAsia="Times New Roman" w:hAnsi="Calibri" w:cs="Calibri"/>
                <w:sz w:val="18"/>
                <w:szCs w:val="18"/>
                <w:lang w:eastAsia="en-GB"/>
              </w:rPr>
              <w:t>ABCD1235</w:t>
            </w:r>
          </w:p>
        </w:tc>
        <w:tc>
          <w:tcPr>
            <w:tcW w:w="1268" w:type="dxa"/>
          </w:tcPr>
          <w:p w:rsidR="00D60974" w:rsidRPr="00D6332E" w:rsidRDefault="00D60974" w:rsidP="00C71743">
            <w:pPr>
              <w:rPr>
                <w:b/>
                <w:bCs/>
                <w:sz w:val="18"/>
                <w:szCs w:val="18"/>
              </w:rPr>
            </w:pPr>
            <w:r w:rsidRPr="00D6332E">
              <w:rPr>
                <w:rFonts w:ascii="Calibri" w:eastAsia="Times New Roman" w:hAnsi="Calibri" w:cs="Calibri"/>
                <w:sz w:val="18"/>
                <w:szCs w:val="18"/>
                <w:lang w:eastAsia="en-GB"/>
              </w:rPr>
              <w:t>Module title 2</w:t>
            </w:r>
          </w:p>
        </w:tc>
        <w:tc>
          <w:tcPr>
            <w:tcW w:w="1132" w:type="dxa"/>
          </w:tcPr>
          <w:p w:rsidR="00D60974" w:rsidRPr="00D6332E" w:rsidRDefault="00D60974"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D60974" w:rsidRPr="00D6332E" w:rsidRDefault="00D60974" w:rsidP="00C71743">
            <w:pPr>
              <w:rPr>
                <w:rFonts w:ascii="Calibri" w:eastAsia="Times New Roman" w:hAnsi="Calibri" w:cs="Calibri"/>
                <w:sz w:val="18"/>
                <w:szCs w:val="18"/>
                <w:lang w:eastAsia="en-GB"/>
              </w:rPr>
            </w:pPr>
          </w:p>
        </w:tc>
        <w:tc>
          <w:tcPr>
            <w:tcW w:w="999" w:type="dxa"/>
          </w:tcPr>
          <w:p w:rsidR="00D60974" w:rsidRPr="00D6332E" w:rsidRDefault="00D60974"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D60974" w:rsidRPr="00D6332E" w:rsidTr="00C71743">
        <w:tc>
          <w:tcPr>
            <w:tcW w:w="1637" w:type="dxa"/>
          </w:tcPr>
          <w:p w:rsidR="00D60974" w:rsidRPr="00D6332E" w:rsidRDefault="00D60974" w:rsidP="00C71743">
            <w:pPr>
              <w:rPr>
                <w:b/>
                <w:bCs/>
                <w:sz w:val="18"/>
                <w:szCs w:val="18"/>
              </w:rPr>
            </w:pPr>
            <w:r w:rsidRPr="00D6332E">
              <w:rPr>
                <w:sz w:val="18"/>
                <w:szCs w:val="18"/>
              </w:rPr>
              <w:t>Undergrad Stage x</w:t>
            </w:r>
          </w:p>
        </w:tc>
        <w:tc>
          <w:tcPr>
            <w:tcW w:w="990" w:type="dxa"/>
          </w:tcPr>
          <w:p w:rsidR="00D60974" w:rsidRPr="00D6332E" w:rsidRDefault="00D60974" w:rsidP="00C71743">
            <w:pPr>
              <w:rPr>
                <w:b/>
                <w:bCs/>
                <w:sz w:val="18"/>
                <w:szCs w:val="18"/>
              </w:rPr>
            </w:pPr>
            <w:r w:rsidRPr="00D6332E">
              <w:rPr>
                <w:rFonts w:ascii="Calibri" w:eastAsia="Times New Roman" w:hAnsi="Calibri" w:cs="Calibri"/>
                <w:sz w:val="18"/>
                <w:szCs w:val="18"/>
                <w:lang w:eastAsia="en-GB"/>
              </w:rPr>
              <w:t>ABCD1236</w:t>
            </w:r>
          </w:p>
        </w:tc>
        <w:tc>
          <w:tcPr>
            <w:tcW w:w="1268" w:type="dxa"/>
          </w:tcPr>
          <w:p w:rsidR="00D60974" w:rsidRPr="00D6332E" w:rsidRDefault="00D60974" w:rsidP="00C71743">
            <w:pPr>
              <w:rPr>
                <w:b/>
                <w:bCs/>
                <w:sz w:val="18"/>
                <w:szCs w:val="18"/>
              </w:rPr>
            </w:pPr>
            <w:r w:rsidRPr="00D6332E">
              <w:rPr>
                <w:rFonts w:ascii="Calibri" w:eastAsia="Times New Roman" w:hAnsi="Calibri" w:cs="Calibri"/>
                <w:sz w:val="18"/>
                <w:szCs w:val="18"/>
                <w:lang w:eastAsia="en-GB"/>
              </w:rPr>
              <w:t>Module title 3</w:t>
            </w:r>
          </w:p>
        </w:tc>
        <w:tc>
          <w:tcPr>
            <w:tcW w:w="1132" w:type="dxa"/>
          </w:tcPr>
          <w:p w:rsidR="00D60974" w:rsidRPr="00D6332E" w:rsidRDefault="00D60974" w:rsidP="00C71743">
            <w:pPr>
              <w:rPr>
                <w:rFonts w:ascii="Calibri" w:eastAsia="Times New Roman" w:hAnsi="Calibri" w:cs="Calibri"/>
                <w:sz w:val="18"/>
                <w:szCs w:val="18"/>
                <w:lang w:eastAsia="en-GB"/>
              </w:rPr>
            </w:pPr>
          </w:p>
        </w:tc>
        <w:tc>
          <w:tcPr>
            <w:tcW w:w="1062" w:type="dxa"/>
          </w:tcPr>
          <w:p w:rsidR="00D60974" w:rsidRPr="00D6332E" w:rsidRDefault="00D60974"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tcPr>
          <w:p w:rsidR="00D60974" w:rsidRPr="00D6332E" w:rsidRDefault="00D60974" w:rsidP="00C71743">
            <w:pPr>
              <w:rPr>
                <w:rFonts w:ascii="Calibri" w:eastAsia="Times New Roman" w:hAnsi="Calibri" w:cs="Calibri"/>
                <w:sz w:val="18"/>
                <w:szCs w:val="18"/>
                <w:lang w:eastAsia="en-GB"/>
              </w:rPr>
            </w:pPr>
          </w:p>
        </w:tc>
        <w:tc>
          <w:tcPr>
            <w:tcW w:w="1177"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D60974" w:rsidRPr="00D6332E" w:rsidRDefault="00D60974"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D60974" w:rsidRPr="00D6332E" w:rsidTr="00C71743">
        <w:tc>
          <w:tcPr>
            <w:tcW w:w="10632" w:type="dxa"/>
            <w:gridSpan w:val="9"/>
          </w:tcPr>
          <w:p w:rsidR="00D60974" w:rsidRDefault="00D60974" w:rsidP="00C71743">
            <w:pPr>
              <w:rPr>
                <w:sz w:val="18"/>
                <w:szCs w:val="18"/>
              </w:rPr>
            </w:pPr>
          </w:p>
          <w:p w:rsidR="00D60974" w:rsidRPr="00D6332E" w:rsidRDefault="00D60974" w:rsidP="00C71743">
            <w:pPr>
              <w:rPr>
                <w:sz w:val="18"/>
                <w:szCs w:val="18"/>
              </w:rPr>
            </w:pPr>
            <w:r w:rsidRPr="00D6332E">
              <w:rPr>
                <w:sz w:val="18"/>
                <w:szCs w:val="18"/>
              </w:rPr>
              <w:t>A transcript of your results can be accessed via Kent Vision in My Transcript.</w:t>
            </w:r>
          </w:p>
          <w:p w:rsidR="00D60974" w:rsidRDefault="00D60974" w:rsidP="00C71743">
            <w:pPr>
              <w:rPr>
                <w:sz w:val="18"/>
                <w:szCs w:val="18"/>
              </w:rPr>
            </w:pPr>
          </w:p>
        </w:tc>
      </w:tr>
      <w:tr w:rsidR="00D60974" w:rsidRPr="00AC0EEE" w:rsidTr="00C71743">
        <w:tc>
          <w:tcPr>
            <w:tcW w:w="10632" w:type="dxa"/>
            <w:gridSpan w:val="9"/>
          </w:tcPr>
          <w:p w:rsidR="00D60974" w:rsidRPr="00596173" w:rsidRDefault="00D60974" w:rsidP="00C71743">
            <w:pPr>
              <w:rPr>
                <w:rFonts w:cstheme="minorHAnsi"/>
                <w:b/>
                <w:bCs/>
                <w:sz w:val="18"/>
                <w:szCs w:val="18"/>
              </w:rPr>
            </w:pPr>
            <w:r w:rsidRPr="00596173">
              <w:rPr>
                <w:rFonts w:cstheme="minorHAnsi"/>
                <w:b/>
                <w:bCs/>
                <w:sz w:val="18"/>
                <w:szCs w:val="18"/>
              </w:rPr>
              <w:t>Further Information</w:t>
            </w:r>
          </w:p>
          <w:p w:rsidR="00D60974" w:rsidRPr="00AC0EEE" w:rsidRDefault="00D60974" w:rsidP="00C71743">
            <w:pPr>
              <w:rPr>
                <w:rFonts w:cstheme="minorHAnsi"/>
                <w:sz w:val="18"/>
                <w:szCs w:val="18"/>
              </w:rPr>
            </w:pPr>
          </w:p>
        </w:tc>
      </w:tr>
      <w:tr w:rsidR="00D60974" w:rsidRPr="00A22E06" w:rsidTr="00C71743">
        <w:tc>
          <w:tcPr>
            <w:tcW w:w="10632" w:type="dxa"/>
            <w:gridSpan w:val="9"/>
          </w:tcPr>
          <w:p w:rsidR="00D60974" w:rsidRDefault="00D60974" w:rsidP="00C71743">
            <w:pPr>
              <w:rPr>
                <w:rStyle w:val="Hyperlink"/>
                <w:rFonts w:cstheme="minorHAnsi"/>
                <w:bCs/>
                <w:sz w:val="18"/>
                <w:szCs w:val="18"/>
              </w:rPr>
            </w:pPr>
            <w:r w:rsidRPr="00AC0EEE">
              <w:rPr>
                <w:rFonts w:cstheme="minorHAnsi"/>
                <w:bCs/>
                <w:sz w:val="18"/>
                <w:szCs w:val="18"/>
              </w:rPr>
              <w:t xml:space="preserve">If you are required by UK Visas and Immigration to hold a visa, any changes to your studies may impact your conditions to stay in the UK. It is imperative that you seek further information from </w:t>
            </w:r>
            <w:hyperlink r:id="rId9"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10"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1" w:history="1">
              <w:r w:rsidRPr="00AC0EEE">
                <w:rPr>
                  <w:rStyle w:val="Hyperlink"/>
                  <w:rFonts w:cstheme="minorHAnsi"/>
                  <w:bCs/>
                  <w:sz w:val="18"/>
                  <w:szCs w:val="18"/>
                </w:rPr>
                <w:t>GKSU Advice Centre (Medway)</w:t>
              </w:r>
            </w:hyperlink>
          </w:p>
          <w:p w:rsidR="00D60974" w:rsidRPr="00A22E06" w:rsidRDefault="00D60974" w:rsidP="00C71743">
            <w:pPr>
              <w:rPr>
                <w:rFonts w:cstheme="minorHAnsi"/>
                <w:bCs/>
                <w:color w:val="0563C1" w:themeColor="hyperlink"/>
                <w:sz w:val="18"/>
                <w:szCs w:val="18"/>
                <w:u w:val="single"/>
              </w:rPr>
            </w:pPr>
          </w:p>
        </w:tc>
      </w:tr>
      <w:tr w:rsidR="00D60974" w:rsidRPr="00AC0EEE" w:rsidTr="00C71743">
        <w:tc>
          <w:tcPr>
            <w:tcW w:w="10632" w:type="dxa"/>
            <w:gridSpan w:val="9"/>
          </w:tcPr>
          <w:p w:rsidR="00D60974" w:rsidRPr="00BF6757" w:rsidRDefault="00D60974" w:rsidP="00C71743">
            <w:pPr>
              <w:rPr>
                <w:rFonts w:cstheme="minorHAnsi"/>
                <w:b/>
                <w:sz w:val="18"/>
                <w:szCs w:val="18"/>
              </w:rPr>
            </w:pPr>
            <w:r w:rsidRPr="00BF6757">
              <w:rPr>
                <w:rFonts w:cstheme="minorHAnsi"/>
                <w:b/>
                <w:sz w:val="18"/>
                <w:szCs w:val="18"/>
              </w:rPr>
              <w:t>Appeals</w:t>
            </w:r>
          </w:p>
          <w:p w:rsidR="00D60974" w:rsidRPr="00BF6757" w:rsidRDefault="00D60974" w:rsidP="00C71743">
            <w:pPr>
              <w:rPr>
                <w:color w:val="7030A0"/>
                <w:sz w:val="18"/>
                <w:szCs w:val="18"/>
              </w:rPr>
            </w:pPr>
            <w:r w:rsidRPr="00BF6757">
              <w:rPr>
                <w:sz w:val="18"/>
                <w:szCs w:val="18"/>
              </w:rPr>
              <w:t xml:space="preserve">Your rights within University regulations to appeal against this recommendation are set out in </w:t>
            </w:r>
            <w:hyperlink r:id="rId12"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D60974" w:rsidRPr="006D5F2C" w:rsidRDefault="00D60974" w:rsidP="00C71743">
            <w:pPr>
              <w:rPr>
                <w:color w:val="7030A0"/>
                <w:sz w:val="18"/>
                <w:szCs w:val="18"/>
              </w:rPr>
            </w:pPr>
          </w:p>
          <w:p w:rsidR="00D60974" w:rsidRDefault="00D60974" w:rsidP="00C71743">
            <w:pPr>
              <w:rPr>
                <w:color w:val="7030A0"/>
                <w:sz w:val="18"/>
                <w:szCs w:val="18"/>
              </w:rPr>
            </w:pPr>
            <w:r w:rsidRPr="00AC0EEE">
              <w:rPr>
                <w:rFonts w:cstheme="minorHAnsi"/>
                <w:bCs/>
                <w:sz w:val="18"/>
                <w:szCs w:val="18"/>
              </w:rPr>
              <w:t xml:space="preserve">Before entering the formal appeals process, please contact </w:t>
            </w:r>
            <w:r w:rsidRPr="004E4BA9">
              <w:rPr>
                <w:rFonts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3" w:history="1">
              <w:r w:rsidRPr="00BF6757">
                <w:rPr>
                  <w:rStyle w:val="Hyperlink"/>
                  <w:sz w:val="18"/>
                  <w:szCs w:val="18"/>
                </w:rPr>
                <w:t>here</w:t>
              </w:r>
            </w:hyperlink>
            <w:r w:rsidRPr="00BF6757">
              <w:rPr>
                <w:color w:val="7030A0"/>
                <w:sz w:val="18"/>
                <w:szCs w:val="18"/>
              </w:rPr>
              <w:t>.</w:t>
            </w:r>
          </w:p>
          <w:p w:rsidR="00D60974" w:rsidRDefault="00D60974" w:rsidP="00C71743">
            <w:pPr>
              <w:rPr>
                <w:rFonts w:cstheme="minorHAnsi"/>
                <w:bCs/>
                <w:color w:val="7030A0"/>
                <w:sz w:val="18"/>
                <w:szCs w:val="18"/>
              </w:rPr>
            </w:pPr>
          </w:p>
          <w:p w:rsidR="00D60974" w:rsidRPr="00AC0EEE" w:rsidRDefault="00D60974"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4"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15" w:history="1">
              <w:r w:rsidRPr="00AC0EEE">
                <w:rPr>
                  <w:rStyle w:val="Hyperlink"/>
                  <w:rFonts w:cstheme="minorHAnsi"/>
                  <w:bCs/>
                  <w:sz w:val="18"/>
                  <w:szCs w:val="18"/>
                </w:rPr>
                <w:t>GKSU Advice Centre (Medway)</w:t>
              </w:r>
            </w:hyperlink>
          </w:p>
          <w:p w:rsidR="00D60974" w:rsidRPr="00AC0EEE" w:rsidRDefault="00D60974" w:rsidP="00C71743">
            <w:pPr>
              <w:rPr>
                <w:rFonts w:cstheme="minorHAnsi"/>
                <w:sz w:val="18"/>
                <w:szCs w:val="18"/>
              </w:rPr>
            </w:pPr>
          </w:p>
        </w:tc>
      </w:tr>
      <w:tr w:rsidR="00D60974" w:rsidRPr="00AC0EEE" w:rsidTr="00C71743">
        <w:tc>
          <w:tcPr>
            <w:tcW w:w="10632" w:type="dxa"/>
            <w:gridSpan w:val="9"/>
          </w:tcPr>
          <w:p w:rsidR="00D60974" w:rsidRPr="006D5F2C" w:rsidRDefault="00D60974" w:rsidP="00C71743">
            <w:pPr>
              <w:rPr>
                <w:sz w:val="18"/>
                <w:szCs w:val="18"/>
              </w:rPr>
            </w:pPr>
            <w:r w:rsidRPr="00AC0EEE">
              <w:rPr>
                <w:rFonts w:cstheme="minorHAnsi"/>
                <w:bCs/>
                <w:sz w:val="18"/>
                <w:szCs w:val="18"/>
              </w:rPr>
              <w:lastRenderedPageBreak/>
              <w:t xml:space="preserve">Please read this letter in conjunction with our </w:t>
            </w:r>
            <w:hyperlink r:id="rId16" w:history="1">
              <w:r w:rsidRPr="00AC0EEE">
                <w:rPr>
                  <w:rStyle w:val="Hyperlink"/>
                  <w:rFonts w:cstheme="minorHAnsi"/>
                  <w:bCs/>
                  <w:sz w:val="18"/>
                  <w:szCs w:val="18"/>
                </w:rPr>
                <w:t>FAQs</w:t>
              </w:r>
            </w:hyperlink>
            <w:r w:rsidRPr="00AC0EEE">
              <w:rPr>
                <w:rFonts w:cstheme="minorHAnsi"/>
                <w:bCs/>
                <w:sz w:val="18"/>
                <w:szCs w:val="18"/>
              </w:rPr>
              <w:t xml:space="preserve"> </w:t>
            </w:r>
          </w:p>
          <w:p w:rsidR="00D60974" w:rsidRPr="00A81D7F" w:rsidRDefault="00D60974"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D60974" w:rsidRPr="00AC0EEE" w:rsidRDefault="00D60974" w:rsidP="00C71743">
            <w:pPr>
              <w:rPr>
                <w:rFonts w:cstheme="minorHAnsi"/>
                <w:sz w:val="18"/>
                <w:szCs w:val="18"/>
              </w:rPr>
            </w:pPr>
          </w:p>
        </w:tc>
      </w:tr>
      <w:tr w:rsidR="00D60974" w:rsidTr="00C71743">
        <w:tc>
          <w:tcPr>
            <w:tcW w:w="10632" w:type="dxa"/>
            <w:gridSpan w:val="9"/>
          </w:tcPr>
          <w:p w:rsidR="00D60974" w:rsidRPr="006A6515" w:rsidRDefault="00D60974" w:rsidP="00C71743">
            <w:pPr>
              <w:pStyle w:val="ListParagraph"/>
              <w:ind w:left="0"/>
              <w:rPr>
                <w:i/>
                <w:iCs/>
                <w:color w:val="0070C0"/>
                <w:sz w:val="18"/>
                <w:szCs w:val="18"/>
              </w:rPr>
            </w:pPr>
            <w:r>
              <w:rPr>
                <w:i/>
                <w:iCs/>
                <w:color w:val="0070C0"/>
                <w:sz w:val="18"/>
                <w:szCs w:val="18"/>
              </w:rPr>
              <w:t>If Medway</w:t>
            </w:r>
          </w:p>
          <w:p w:rsidR="00D60974" w:rsidRPr="006A6515" w:rsidRDefault="00D60974" w:rsidP="00C71743">
            <w:pPr>
              <w:rPr>
                <w:sz w:val="18"/>
                <w:szCs w:val="18"/>
                <w:lang w:val="en-GB"/>
              </w:rPr>
            </w:pPr>
            <w:r w:rsidRPr="006A6515">
              <w:rPr>
                <w:sz w:val="18"/>
                <w:szCs w:val="18"/>
                <w:lang w:val="en-GB"/>
              </w:rPr>
              <w:t>Medway Student Administration, University of Kent</w:t>
            </w:r>
          </w:p>
          <w:p w:rsidR="00D60974" w:rsidRPr="006A6515" w:rsidRDefault="00D60974" w:rsidP="00C71743">
            <w:pPr>
              <w:pStyle w:val="ListParagraph"/>
              <w:ind w:left="0"/>
              <w:rPr>
                <w:i/>
                <w:iCs/>
                <w:color w:val="0070C0"/>
                <w:sz w:val="18"/>
                <w:szCs w:val="18"/>
              </w:rPr>
            </w:pPr>
            <w:r>
              <w:rPr>
                <w:i/>
                <w:iCs/>
                <w:color w:val="0070C0"/>
                <w:sz w:val="18"/>
                <w:szCs w:val="18"/>
              </w:rPr>
              <w:t>If not Medway</w:t>
            </w:r>
          </w:p>
          <w:p w:rsidR="00D60974" w:rsidRDefault="00D60974" w:rsidP="00C71743">
            <w:pPr>
              <w:rPr>
                <w:b/>
                <w:bCs/>
              </w:rPr>
            </w:pPr>
            <w:r w:rsidRPr="006D5F2C">
              <w:rPr>
                <w:sz w:val="18"/>
                <w:szCs w:val="18"/>
              </w:rPr>
              <w:t>Central Student Administration, University of Kent</w:t>
            </w:r>
          </w:p>
        </w:tc>
      </w:tr>
    </w:tbl>
    <w:p w:rsidR="00DE23BF" w:rsidRDefault="00D60974"/>
    <w:sectPr w:rsidR="00DE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74"/>
    <w:rsid w:val="00635DD3"/>
    <w:rsid w:val="00793AFB"/>
    <w:rsid w:val="00D6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696B"/>
  <w15:chartTrackingRefBased/>
  <w15:docId w15:val="{534211E2-E09B-4FC4-991C-CECAB1F6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74"/>
    <w:pPr>
      <w:ind w:left="720"/>
      <w:contextualSpacing/>
    </w:pPr>
  </w:style>
  <w:style w:type="character" w:styleId="Hyperlink">
    <w:name w:val="Hyperlink"/>
    <w:basedOn w:val="DefaultParagraphFont"/>
    <w:uiPriority w:val="99"/>
    <w:unhideWhenUsed/>
    <w:rsid w:val="00D60974"/>
    <w:rPr>
      <w:color w:val="0563C1" w:themeColor="hyperlink"/>
      <w:u w:val="single"/>
    </w:rPr>
  </w:style>
  <w:style w:type="table" w:styleId="TableGrid">
    <w:name w:val="Table Grid"/>
    <w:basedOn w:val="TableNormal"/>
    <w:uiPriority w:val="39"/>
    <w:rsid w:val="00D6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sion.kent.ac.uk/urd/sits.urd/run/siw_lgn" TargetMode="External"/><Relationship Id="rId13" Type="http://schemas.openxmlformats.org/officeDocument/2006/relationships/hyperlink" Target="https://www.kent.ac.uk/education/academic-appe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t.ac.uk/csao/exams/resits.html" TargetMode="External"/><Relationship Id="rId12" Type="http://schemas.openxmlformats.org/officeDocument/2006/relationships/hyperlink" Target="https://www.kent.ac.uk/teaching/qa/credit-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t.ac.uk/csao/exams/exam-faqs.html" TargetMode="External"/><Relationship Id="rId1" Type="http://schemas.openxmlformats.org/officeDocument/2006/relationships/numbering" Target="numbering.xml"/><Relationship Id="rId6" Type="http://schemas.openxmlformats.org/officeDocument/2006/relationships/hyperlink" Target="https://moodle.kent.ac.uk/2021/course/index.php?categoryid=87" TargetMode="External"/><Relationship Id="rId11" Type="http://schemas.openxmlformats.org/officeDocument/2006/relationships/hyperlink" Target="https://gksu.co.uk/advice-and-support" TargetMode="External"/><Relationship Id="rId5" Type="http://schemas.openxmlformats.org/officeDocument/2006/relationships/hyperlink" Target="https://evision.kent.ac.uk/urd/sits.urd/run/siw_lgn" TargetMode="External"/><Relationship Id="rId15" Type="http://schemas.openxmlformats.org/officeDocument/2006/relationships/hyperlink" Target="https://gksu.co.uk/advice-and-support" TargetMode="External"/><Relationship Id="rId10" Type="http://schemas.openxmlformats.org/officeDocument/2006/relationships/hyperlink" Target="https://kentunion.co.uk/welfare/advice" TargetMode="External"/><Relationship Id="rId4" Type="http://schemas.openxmlformats.org/officeDocument/2006/relationships/webSettings" Target="webSettings.xml"/><Relationship Id="rId9" Type="http://schemas.openxmlformats.org/officeDocument/2006/relationships/hyperlink" Target="mailto:visacompliance@kent.ac.uk" TargetMode="External"/><Relationship Id="rId14" Type="http://schemas.openxmlformats.org/officeDocument/2006/relationships/hyperlink" Target="https://kentunion.co.uk/welfare/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1</cp:revision>
  <dcterms:created xsi:type="dcterms:W3CDTF">2022-05-19T13:24:00Z</dcterms:created>
  <dcterms:modified xsi:type="dcterms:W3CDTF">2022-05-19T13:25:00Z</dcterms:modified>
</cp:coreProperties>
</file>