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F1" w:rsidRDefault="004F215F" w:rsidP="001C09FB">
      <w:pPr>
        <w:pStyle w:val="Heading1"/>
        <w:jc w:val="center"/>
      </w:pPr>
      <w:r>
        <w:t>LGBTQ+ Study / Travel Abroad Advice – University of Kent</w:t>
      </w:r>
    </w:p>
    <w:p w:rsidR="004F215F" w:rsidRDefault="004F215F">
      <w:r>
        <w:t xml:space="preserve">Most LGBTQ+ students </w:t>
      </w:r>
      <w:proofErr w:type="gramStart"/>
      <w:r>
        <w:t>experience no difficulties</w:t>
      </w:r>
      <w:proofErr w:type="gramEnd"/>
      <w:r>
        <w:t xml:space="preserve"> when visiting other </w:t>
      </w:r>
      <w:r w:rsidR="001C09FB">
        <w:t>countries</w:t>
      </w:r>
      <w:r>
        <w:t xml:space="preserve"> either for study or travel. That said, the University of Kent does </w:t>
      </w:r>
      <w:r w:rsidR="005950C4">
        <w:t>advise</w:t>
      </w:r>
      <w:r>
        <w:t xml:space="preserve"> you to do some research on the country you will be visiting before you </w:t>
      </w:r>
      <w:proofErr w:type="gramStart"/>
      <w:r>
        <w:t>travel</w:t>
      </w:r>
      <w:proofErr w:type="gramEnd"/>
      <w:r>
        <w:t xml:space="preserve"> as you will be subject to the laws and the judicial</w:t>
      </w:r>
      <w:r w:rsidR="001C09FB">
        <w:t xml:space="preserve"> </w:t>
      </w:r>
      <w:r>
        <w:t>process of that country. Attitudes towards sexual orientation and gender identity vary from country to country, both legally and socially, and it is important that you familiarise yourself in advance.</w:t>
      </w:r>
    </w:p>
    <w:p w:rsidR="004F215F" w:rsidRDefault="004F215F">
      <w:r>
        <w:t>The University of Kent cannot advise you one way or the other as to you</w:t>
      </w:r>
      <w:r w:rsidR="005950C4">
        <w:t>r</w:t>
      </w:r>
      <w:r>
        <w:t xml:space="preserve"> decision to visit or study in a specific country. However, we can equip you with the skills and knowledge to be able to make an informed decision yourself.</w:t>
      </w:r>
    </w:p>
    <w:p w:rsidR="001C09FB" w:rsidRDefault="001C09FB" w:rsidP="001C09FB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Transgender students sometimes face difficulties or delays at border controls overseas if they present as a different gender to what is stated in their passport. The HM Passport Office offers advice and information for transgender individuals applying for a passport in their acquired gender</w:t>
      </w:r>
    </w:p>
    <w:p w:rsidR="005950C4" w:rsidRPr="001C09FB" w:rsidRDefault="005950C4" w:rsidP="001C09FB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lang w:eastAsia="en-GB"/>
        </w:rPr>
      </w:pPr>
    </w:p>
    <w:p w:rsidR="004F215F" w:rsidRDefault="004F215F">
      <w:r>
        <w:t xml:space="preserve">Married students travelling with their spouse should be aware that some countries do not recognise a marriage between two persons of the same sex. This can have implications should you or your spouse become </w:t>
      </w:r>
      <w:r w:rsidR="00DE3F6E">
        <w:t>ill,</w:t>
      </w:r>
      <w:r>
        <w:t xml:space="preserve"> as you </w:t>
      </w:r>
      <w:proofErr w:type="gramStart"/>
      <w:r>
        <w:t>may not be recognised</w:t>
      </w:r>
      <w:proofErr w:type="gramEnd"/>
      <w:r>
        <w:t xml:space="preserve"> as the next of kin. The University of Kent advises you to look up the </w:t>
      </w:r>
      <w:r w:rsidR="001C09FB">
        <w:t>customs</w:t>
      </w:r>
      <w:r>
        <w:t xml:space="preserve"> and practices in the country you are travelling to and to explore the </w:t>
      </w:r>
      <w:r w:rsidR="001C09FB">
        <w:t>possibility</w:t>
      </w:r>
      <w:r>
        <w:t xml:space="preserve"> of bringing written consent for you and your spouse, to </w:t>
      </w:r>
      <w:r w:rsidR="001C09FB">
        <w:t>authorise</w:t>
      </w:r>
      <w:r>
        <w:t xml:space="preserve"> them to access your medical information should you </w:t>
      </w:r>
      <w:r w:rsidR="001C09FB">
        <w:t>become</w:t>
      </w:r>
      <w:r>
        <w:t xml:space="preserve"> ill or require hospitalisation</w:t>
      </w:r>
    </w:p>
    <w:p w:rsidR="004F215F" w:rsidRDefault="004F215F" w:rsidP="001C09FB">
      <w:pPr>
        <w:pStyle w:val="Heading2"/>
      </w:pPr>
      <w:r>
        <w:t>Before you travel</w:t>
      </w:r>
    </w:p>
    <w:p w:rsidR="004F215F" w:rsidRDefault="004F215F" w:rsidP="004F215F">
      <w:pPr>
        <w:pStyle w:val="ListParagraph"/>
        <w:numPr>
          <w:ilvl w:val="0"/>
          <w:numId w:val="2"/>
        </w:numPr>
      </w:pPr>
      <w:r>
        <w:t xml:space="preserve">Research your destination. The Foreign and Commonwealth Office (FCO) travel advice website has information on 225 territories around the world. As well as general safety information, it includes a section on local laws and </w:t>
      </w:r>
      <w:r w:rsidR="001C09FB">
        <w:t>customs, which</w:t>
      </w:r>
      <w:r>
        <w:t xml:space="preserve"> will tell you if LGBTQ+ travellers are likely to face any issues in a particular country. Pay particular attention to the </w:t>
      </w:r>
      <w:r w:rsidR="001C09FB">
        <w:t>local laws</w:t>
      </w:r>
      <w:r>
        <w:t xml:space="preserve"> and customs – in some countries homosexuality and/or homosexual relations are illegal and can be subject to severe penalties</w:t>
      </w:r>
    </w:p>
    <w:p w:rsidR="004F215F" w:rsidRDefault="004F215F" w:rsidP="001C09FB">
      <w:pPr>
        <w:pStyle w:val="ListParagraph"/>
        <w:numPr>
          <w:ilvl w:val="0"/>
          <w:numId w:val="2"/>
        </w:numPr>
      </w:pPr>
      <w:r>
        <w:t xml:space="preserve">Be aware that in </w:t>
      </w:r>
      <w:r w:rsidR="001C09FB">
        <w:t>countries</w:t>
      </w:r>
      <w:r>
        <w:t xml:space="preserve"> where homosexual relations are legal, levels of tolerance and acceptance within society may still vary </w:t>
      </w:r>
      <w:r w:rsidR="001C09FB">
        <w:t>hugely</w:t>
      </w:r>
    </w:p>
    <w:p w:rsidR="00D36372" w:rsidRDefault="00D36372" w:rsidP="004F215F">
      <w:pPr>
        <w:pStyle w:val="ListParagraph"/>
        <w:numPr>
          <w:ilvl w:val="0"/>
          <w:numId w:val="2"/>
        </w:numPr>
      </w:pPr>
      <w:r>
        <w:t>Review your personal documentation and identification in terms of the name and gender marker you are travelling under</w:t>
      </w:r>
    </w:p>
    <w:p w:rsidR="00D36372" w:rsidRDefault="00D36372" w:rsidP="00D36372">
      <w:pPr>
        <w:pStyle w:val="ListParagraph"/>
        <w:numPr>
          <w:ilvl w:val="0"/>
          <w:numId w:val="2"/>
        </w:numPr>
      </w:pPr>
      <w:r>
        <w:t>Invest in a good guide book – many specialise in advice to LGBTQ+ travellers</w:t>
      </w:r>
    </w:p>
    <w:p w:rsidR="001C09FB" w:rsidRDefault="001C09FB" w:rsidP="004F215F">
      <w:pPr>
        <w:pStyle w:val="ListParagraph"/>
        <w:numPr>
          <w:ilvl w:val="0"/>
          <w:numId w:val="2"/>
        </w:numPr>
      </w:pPr>
      <w:r>
        <w:t xml:space="preserve">Pack important documents:, </w:t>
      </w:r>
    </w:p>
    <w:p w:rsidR="001C09FB" w:rsidRDefault="001C09FB" w:rsidP="001C09FB">
      <w:pPr>
        <w:pStyle w:val="ListParagraph"/>
        <w:numPr>
          <w:ilvl w:val="0"/>
          <w:numId w:val="5"/>
        </w:numPr>
      </w:pPr>
      <w:r>
        <w:t xml:space="preserve">legal and health documents, </w:t>
      </w:r>
    </w:p>
    <w:p w:rsidR="001C09FB" w:rsidRDefault="001C09FB" w:rsidP="001C09FB">
      <w:pPr>
        <w:pStyle w:val="ListParagraph"/>
        <w:numPr>
          <w:ilvl w:val="0"/>
          <w:numId w:val="5"/>
        </w:numPr>
      </w:pPr>
      <w:r>
        <w:t xml:space="preserve">contact information for your family and/or lawyer, </w:t>
      </w:r>
    </w:p>
    <w:p w:rsidR="004F215F" w:rsidRDefault="001C09FB" w:rsidP="001C09FB">
      <w:pPr>
        <w:pStyle w:val="ListParagraph"/>
        <w:numPr>
          <w:ilvl w:val="0"/>
          <w:numId w:val="5"/>
        </w:numPr>
      </w:pPr>
      <w:r>
        <w:t>address and phone number of the nearest British embassy or consulate in English and in the local language</w:t>
      </w:r>
    </w:p>
    <w:p w:rsidR="001C09FB" w:rsidRDefault="001C09FB" w:rsidP="001C09FB">
      <w:pPr>
        <w:pStyle w:val="ListParagraph"/>
        <w:numPr>
          <w:ilvl w:val="0"/>
          <w:numId w:val="5"/>
        </w:numPr>
      </w:pPr>
      <w:r>
        <w:t>Travel insurance (check to see what policies have plans that are tailored specifically to LGBTQ+ individuals)</w:t>
      </w:r>
    </w:p>
    <w:p w:rsidR="004F215F" w:rsidRDefault="004F215F" w:rsidP="001C09FB">
      <w:pPr>
        <w:pStyle w:val="Heading2"/>
      </w:pPr>
      <w:r>
        <w:t>While you are there</w:t>
      </w:r>
    </w:p>
    <w:p w:rsidR="004F215F" w:rsidRDefault="004F215F" w:rsidP="004F215F">
      <w:pPr>
        <w:pStyle w:val="ListParagraph"/>
        <w:numPr>
          <w:ilvl w:val="0"/>
          <w:numId w:val="1"/>
        </w:numPr>
      </w:pPr>
      <w:r>
        <w:t>Avoid potentially risky situations. Take the same precautions you would at home (don’t leave drinks unattended, be wary if offered drinks by a stranger, don’t walk home alone or meet someone new without telling a trusted friend where you are going and when you will next be in contact)</w:t>
      </w:r>
    </w:p>
    <w:p w:rsidR="004F215F" w:rsidRDefault="00DE3F6E" w:rsidP="004F215F">
      <w:pPr>
        <w:pStyle w:val="ListParagraph"/>
        <w:numPr>
          <w:ilvl w:val="0"/>
          <w:numId w:val="1"/>
        </w:numPr>
      </w:pPr>
      <w:r>
        <w:lastRenderedPageBreak/>
        <w:t>Physical</w:t>
      </w:r>
      <w:r w:rsidR="004F215F">
        <w:t xml:space="preserve"> shows of </w:t>
      </w:r>
      <w:r w:rsidR="001C09FB">
        <w:t>affection</w:t>
      </w:r>
      <w:r w:rsidR="004F215F">
        <w:t xml:space="preserve"> </w:t>
      </w:r>
      <w:r>
        <w:t>can attract unwanted attention; ensure that you are aware of the local attitudes and opinions.</w:t>
      </w:r>
    </w:p>
    <w:p w:rsidR="004F215F" w:rsidRDefault="004F215F" w:rsidP="004F215F">
      <w:pPr>
        <w:pStyle w:val="ListParagraph"/>
        <w:numPr>
          <w:ilvl w:val="0"/>
          <w:numId w:val="1"/>
        </w:numPr>
      </w:pPr>
      <w:r>
        <w:t>If you intend you visit cruising areas or u</w:t>
      </w:r>
      <w:r w:rsidR="005950C4">
        <w:t>sing</w:t>
      </w:r>
      <w:r>
        <w:t xml:space="preserve"> a dating app,</w:t>
      </w:r>
      <w:r w:rsidR="001C09FB">
        <w:t xml:space="preserve"> </w:t>
      </w:r>
      <w:r>
        <w:t xml:space="preserve">find out about the local situation and take sensible </w:t>
      </w:r>
      <w:r w:rsidR="001C09FB">
        <w:t>precautions</w:t>
      </w:r>
      <w:r>
        <w:t xml:space="preserve"> if you meet someone; police have been known to carry out entrapment campaigns</w:t>
      </w:r>
    </w:p>
    <w:p w:rsidR="004F215F" w:rsidRDefault="004F215F" w:rsidP="004F215F">
      <w:pPr>
        <w:pStyle w:val="ListParagraph"/>
        <w:numPr>
          <w:ilvl w:val="0"/>
          <w:numId w:val="1"/>
        </w:numPr>
      </w:pPr>
      <w:r>
        <w:t xml:space="preserve">Be wary of new-found ‘friends’ – criminals sometimes exploit the generally open and relaxed </w:t>
      </w:r>
      <w:r w:rsidR="001C09FB">
        <w:t>nature</w:t>
      </w:r>
      <w:r>
        <w:t xml:space="preserve"> of the gay scene</w:t>
      </w:r>
    </w:p>
    <w:p w:rsidR="004F215F" w:rsidRDefault="004F215F" w:rsidP="004F215F">
      <w:pPr>
        <w:pStyle w:val="ListParagraph"/>
        <w:numPr>
          <w:ilvl w:val="0"/>
          <w:numId w:val="1"/>
        </w:numPr>
      </w:pPr>
      <w:r>
        <w:t xml:space="preserve">If you receive unwelcome attention or remarks, it is </w:t>
      </w:r>
      <w:r w:rsidR="00DE3F6E">
        <w:t>usually best to ignore it</w:t>
      </w:r>
      <w:r w:rsidR="00D36372">
        <w:t>. If harassed, maintain your composure and remove yourself from the situation as quickly as possible.</w:t>
      </w:r>
      <w:r w:rsidR="00DE3F6E">
        <w:t xml:space="preserve"> If appropriate, report it to the police or your local British Embassy</w:t>
      </w:r>
    </w:p>
    <w:p w:rsidR="004F215F" w:rsidRDefault="004F215F" w:rsidP="004F215F">
      <w:pPr>
        <w:pStyle w:val="ListParagraph"/>
        <w:numPr>
          <w:ilvl w:val="0"/>
          <w:numId w:val="1"/>
        </w:numPr>
      </w:pPr>
      <w:r>
        <w:t>You are more likely to experie</w:t>
      </w:r>
      <w:r w:rsidR="00DE3F6E">
        <w:t>nce difficulties in rural areas</w:t>
      </w:r>
    </w:p>
    <w:p w:rsidR="004F215F" w:rsidRDefault="001C09FB" w:rsidP="004F215F">
      <w:pPr>
        <w:pStyle w:val="ListParagraph"/>
        <w:numPr>
          <w:ilvl w:val="0"/>
          <w:numId w:val="1"/>
        </w:numPr>
      </w:pPr>
      <w:r>
        <w:t xml:space="preserve">Some LGBTQ+ </w:t>
      </w:r>
      <w:r w:rsidR="00D36372">
        <w:t>neighbourhoods</w:t>
      </w:r>
      <w:r>
        <w:t xml:space="preserve"> </w:t>
      </w:r>
      <w:proofErr w:type="gramStart"/>
      <w:r>
        <w:t>can be quite segregated</w:t>
      </w:r>
      <w:proofErr w:type="gramEnd"/>
      <w:r>
        <w:t>. Be aware that attitudes in the surrounding areas can be much less accepting.</w:t>
      </w:r>
    </w:p>
    <w:p w:rsidR="00D36372" w:rsidRDefault="00D36372" w:rsidP="004F215F">
      <w:pPr>
        <w:pStyle w:val="ListParagraph"/>
        <w:numPr>
          <w:ilvl w:val="0"/>
          <w:numId w:val="1"/>
        </w:numPr>
      </w:pPr>
      <w:r>
        <w:t>Consider increasing the privacy settings on your social media or other apps while you are travelling</w:t>
      </w:r>
    </w:p>
    <w:p w:rsidR="00D36372" w:rsidRDefault="00D36372" w:rsidP="004F215F">
      <w:pPr>
        <w:pStyle w:val="ListParagraph"/>
        <w:numPr>
          <w:ilvl w:val="0"/>
          <w:numId w:val="1"/>
        </w:numPr>
      </w:pPr>
      <w:r>
        <w:t xml:space="preserve">Consider talking to local groups who </w:t>
      </w:r>
      <w:proofErr w:type="gramStart"/>
      <w:r>
        <w:t>are often best placed</w:t>
      </w:r>
      <w:proofErr w:type="gramEnd"/>
      <w:r>
        <w:t xml:space="preserve"> to advise you on local attitudes, LGBTQ+ friendly venues and other services.</w:t>
      </w:r>
    </w:p>
    <w:p w:rsidR="004F215F" w:rsidRDefault="004F215F" w:rsidP="001C09FB">
      <w:pPr>
        <w:pStyle w:val="Heading2"/>
      </w:pPr>
      <w:r>
        <w:t>Sources of help</w:t>
      </w:r>
    </w:p>
    <w:p w:rsidR="004F215F" w:rsidRDefault="004F215F">
      <w:r>
        <w:t xml:space="preserve">If you do experience problems when you are abroad, </w:t>
      </w:r>
      <w:proofErr w:type="gramStart"/>
      <w:r>
        <w:t>you can either</w:t>
      </w:r>
      <w:proofErr w:type="gramEnd"/>
      <w:r>
        <w:t xml:space="preserve"> contact the local police (depending on where you are) or your nearest British Embassy, commission or consulate can help</w:t>
      </w:r>
    </w:p>
    <w:p w:rsidR="004F215F" w:rsidRDefault="004F215F" w:rsidP="00D36372">
      <w:pPr>
        <w:pStyle w:val="Heading2"/>
      </w:pPr>
      <w:r>
        <w:t>Where you can find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09FB" w:rsidTr="001C09FB">
        <w:tc>
          <w:tcPr>
            <w:tcW w:w="4508" w:type="dxa"/>
          </w:tcPr>
          <w:p w:rsidR="001C09FB" w:rsidRDefault="001C09FB" w:rsidP="001C09FB">
            <w:r>
              <w:t>Foreign and Commonwealth Office (FCO) travel advice website</w:t>
            </w:r>
          </w:p>
          <w:p w:rsidR="001C09FB" w:rsidRDefault="001C09FB"/>
        </w:tc>
        <w:tc>
          <w:tcPr>
            <w:tcW w:w="4508" w:type="dxa"/>
          </w:tcPr>
          <w:p w:rsidR="001C09FB" w:rsidRDefault="0082497D" w:rsidP="001C09FB">
            <w:hyperlink r:id="rId5" w:history="1">
              <w:r w:rsidR="001C09FB">
                <w:rPr>
                  <w:rStyle w:val="Hyperlink"/>
                </w:rPr>
                <w:t>https://www.gov.uk/foreign-travel-advice</w:t>
              </w:r>
            </w:hyperlink>
          </w:p>
          <w:p w:rsidR="001C09FB" w:rsidRDefault="001C09FB"/>
        </w:tc>
      </w:tr>
      <w:tr w:rsidR="001C09FB" w:rsidTr="001C09FB">
        <w:tc>
          <w:tcPr>
            <w:tcW w:w="4508" w:type="dxa"/>
          </w:tcPr>
          <w:p w:rsidR="001C09FB" w:rsidRDefault="001C09FB" w:rsidP="001C09FB">
            <w:r>
              <w:t>International Lesbian, Gay, Bisexual, Trans and Intersex Association</w:t>
            </w:r>
            <w:r w:rsidR="00D36372">
              <w:t xml:space="preserve"> (includes a county by country breakdown)</w:t>
            </w:r>
          </w:p>
        </w:tc>
        <w:tc>
          <w:tcPr>
            <w:tcW w:w="4508" w:type="dxa"/>
          </w:tcPr>
          <w:p w:rsidR="001C09FB" w:rsidRDefault="0082497D" w:rsidP="001C09FB">
            <w:hyperlink r:id="rId6" w:history="1">
              <w:r w:rsidR="001C09FB">
                <w:rPr>
                  <w:rStyle w:val="Hyperlink"/>
                </w:rPr>
                <w:t>https://ilga.org/</w:t>
              </w:r>
            </w:hyperlink>
          </w:p>
          <w:p w:rsidR="00D36372" w:rsidRDefault="0082497D" w:rsidP="001C09FB">
            <w:hyperlink r:id="rId7" w:history="1">
              <w:r w:rsidR="00D36372" w:rsidRPr="00D26327">
                <w:rPr>
                  <w:rStyle w:val="Hyperlink"/>
                </w:rPr>
                <w:t>https://ilga.org/maps-sexual-orientation-laws</w:t>
              </w:r>
            </w:hyperlink>
            <w:r w:rsidR="00D36372">
              <w:t xml:space="preserve"> </w:t>
            </w:r>
          </w:p>
        </w:tc>
      </w:tr>
      <w:tr w:rsidR="001C09FB" w:rsidTr="001C09FB">
        <w:tc>
          <w:tcPr>
            <w:tcW w:w="4508" w:type="dxa"/>
          </w:tcPr>
          <w:p w:rsidR="001C09FB" w:rsidRDefault="001C09FB" w:rsidP="001C09FB">
            <w:r>
              <w:t xml:space="preserve">Find a British Embassy </w:t>
            </w:r>
          </w:p>
        </w:tc>
        <w:tc>
          <w:tcPr>
            <w:tcW w:w="4508" w:type="dxa"/>
          </w:tcPr>
          <w:p w:rsidR="001C09FB" w:rsidRDefault="0082497D" w:rsidP="001C09FB">
            <w:hyperlink r:id="rId8" w:history="1">
              <w:r w:rsidR="001C09FB">
                <w:rPr>
                  <w:rStyle w:val="Hyperlink"/>
                </w:rPr>
                <w:t>https://www.gov.uk/world/embassies</w:t>
              </w:r>
            </w:hyperlink>
          </w:p>
        </w:tc>
      </w:tr>
      <w:tr w:rsidR="001C09FB" w:rsidTr="001C09FB">
        <w:tc>
          <w:tcPr>
            <w:tcW w:w="4508" w:type="dxa"/>
          </w:tcPr>
          <w:p w:rsidR="001C09FB" w:rsidRDefault="00D36372" w:rsidP="001C09FB">
            <w:r>
              <w:t>International LGBTQ+ Travel Association</w:t>
            </w:r>
          </w:p>
        </w:tc>
        <w:tc>
          <w:tcPr>
            <w:tcW w:w="4508" w:type="dxa"/>
          </w:tcPr>
          <w:p w:rsidR="001C09FB" w:rsidRDefault="0082497D" w:rsidP="001C09FB">
            <w:hyperlink r:id="rId9" w:history="1">
              <w:r w:rsidR="00D36372">
                <w:rPr>
                  <w:rStyle w:val="Hyperlink"/>
                </w:rPr>
                <w:t>https://www.iglta.org/</w:t>
              </w:r>
            </w:hyperlink>
          </w:p>
        </w:tc>
      </w:tr>
      <w:tr w:rsidR="00D36372" w:rsidTr="001C09FB">
        <w:tc>
          <w:tcPr>
            <w:tcW w:w="4508" w:type="dxa"/>
          </w:tcPr>
          <w:p w:rsidR="00D36372" w:rsidRDefault="00D36372" w:rsidP="001C09FB">
            <w:r>
              <w:t>Gay European Travel Advice</w:t>
            </w:r>
          </w:p>
        </w:tc>
        <w:tc>
          <w:tcPr>
            <w:tcW w:w="4508" w:type="dxa"/>
          </w:tcPr>
          <w:p w:rsidR="00D36372" w:rsidRDefault="0082497D" w:rsidP="001C09FB">
            <w:hyperlink r:id="rId10" w:history="1">
              <w:r w:rsidR="00D36372">
                <w:rPr>
                  <w:rStyle w:val="Hyperlink"/>
                </w:rPr>
                <w:t>https://www.geta-europe.org/gay-travel-advice-europe.php</w:t>
              </w:r>
            </w:hyperlink>
          </w:p>
        </w:tc>
      </w:tr>
      <w:tr w:rsidR="00D36372" w:rsidTr="001C09FB">
        <w:tc>
          <w:tcPr>
            <w:tcW w:w="4508" w:type="dxa"/>
          </w:tcPr>
          <w:p w:rsidR="00D36372" w:rsidRDefault="00D36372" w:rsidP="001C09FB">
            <w:r>
              <w:t>Out of Office.com</w:t>
            </w:r>
          </w:p>
        </w:tc>
        <w:tc>
          <w:tcPr>
            <w:tcW w:w="4508" w:type="dxa"/>
          </w:tcPr>
          <w:p w:rsidR="00D36372" w:rsidRDefault="0082497D" w:rsidP="001C09FB">
            <w:hyperlink r:id="rId11" w:history="1">
              <w:r w:rsidR="00D36372">
                <w:rPr>
                  <w:rStyle w:val="Hyperlink"/>
                </w:rPr>
                <w:t>https://www.outofoffice.com/travel-advice</w:t>
              </w:r>
            </w:hyperlink>
          </w:p>
        </w:tc>
      </w:tr>
      <w:tr w:rsidR="00D36372" w:rsidTr="001C09FB">
        <w:tc>
          <w:tcPr>
            <w:tcW w:w="4508" w:type="dxa"/>
          </w:tcPr>
          <w:p w:rsidR="00D36372" w:rsidRDefault="00D36372" w:rsidP="001C09FB">
            <w:r>
              <w:t>Equaldex</w:t>
            </w:r>
          </w:p>
        </w:tc>
        <w:tc>
          <w:tcPr>
            <w:tcW w:w="4508" w:type="dxa"/>
          </w:tcPr>
          <w:p w:rsidR="00D36372" w:rsidRDefault="0082497D" w:rsidP="001C09FB">
            <w:hyperlink r:id="rId12" w:history="1">
              <w:r w:rsidR="00D36372">
                <w:rPr>
                  <w:rStyle w:val="Hyperlink"/>
                </w:rPr>
                <w:t>https://www.equaldex.com/</w:t>
              </w:r>
            </w:hyperlink>
          </w:p>
        </w:tc>
      </w:tr>
    </w:tbl>
    <w:p w:rsidR="001C09FB" w:rsidRDefault="001C09FB"/>
    <w:p w:rsidR="001C09FB" w:rsidRDefault="001C09FB" w:rsidP="00D36372">
      <w:pPr>
        <w:pStyle w:val="Heading2"/>
      </w:pPr>
      <w:r>
        <w:t xml:space="preserve">Why </w:t>
      </w:r>
      <w:proofErr w:type="gramStart"/>
      <w:r>
        <w:t>can’t</w:t>
      </w:r>
      <w:proofErr w:type="gramEnd"/>
      <w:r>
        <w:t xml:space="preserve"> the University of Kent provide a list of countries where same-sex relationships are illegal?</w:t>
      </w:r>
    </w:p>
    <w:p w:rsidR="00D36372" w:rsidRPr="00D36372" w:rsidRDefault="00D36372" w:rsidP="00D36372">
      <w:pPr>
        <w:pStyle w:val="NoSpacing"/>
        <w:rPr>
          <w:lang w:eastAsia="en-GB"/>
        </w:rPr>
      </w:pPr>
      <w:r w:rsidRPr="001C09FB">
        <w:rPr>
          <w:lang w:eastAsia="en-GB"/>
        </w:rPr>
        <w:t xml:space="preserve">We </w:t>
      </w:r>
      <w:proofErr w:type="gramStart"/>
      <w:r w:rsidRPr="001C09FB">
        <w:rPr>
          <w:lang w:eastAsia="en-GB"/>
        </w:rPr>
        <w:t>don’t</w:t>
      </w:r>
      <w:proofErr w:type="gramEnd"/>
      <w:r w:rsidRPr="001C09FB">
        <w:rPr>
          <w:lang w:eastAsia="en-GB"/>
        </w:rPr>
        <w:t xml:space="preserve"> have a list of countries where same-sex relationships are illegal for a number of reasons:</w:t>
      </w:r>
    </w:p>
    <w:p w:rsidR="001C09FB" w:rsidRPr="001C09FB" w:rsidRDefault="001C09FB" w:rsidP="001C09FB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lang w:eastAsia="en-GB"/>
        </w:rPr>
      </w:pPr>
      <w:r w:rsidRPr="001C09FB">
        <w:rPr>
          <w:rFonts w:eastAsia="Times New Roman" w:cstheme="minorHAnsi"/>
          <w:color w:val="0B0C0C"/>
          <w:lang w:eastAsia="en-GB"/>
        </w:rPr>
        <w:t>same-sex relationships aren’t specifically mentioned in law in many countries, and in others the law is unclear</w:t>
      </w:r>
    </w:p>
    <w:p w:rsidR="001C09FB" w:rsidRPr="001C09FB" w:rsidRDefault="001C09FB" w:rsidP="001C09FB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lang w:eastAsia="en-GB"/>
        </w:rPr>
      </w:pPr>
      <w:r w:rsidRPr="001C09FB">
        <w:rPr>
          <w:rFonts w:eastAsia="Times New Roman" w:cstheme="minorHAnsi"/>
          <w:color w:val="0B0C0C"/>
          <w:lang w:eastAsia="en-GB"/>
        </w:rPr>
        <w:t>same-sex relationships may be legal, but certain acts may not be</w:t>
      </w:r>
    </w:p>
    <w:p w:rsidR="001C09FB" w:rsidRPr="001C09FB" w:rsidRDefault="001C09FB" w:rsidP="001C09FB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lang w:eastAsia="en-GB"/>
        </w:rPr>
      </w:pPr>
      <w:r w:rsidRPr="001C09FB">
        <w:rPr>
          <w:rFonts w:eastAsia="Times New Roman" w:cstheme="minorHAnsi"/>
          <w:color w:val="0B0C0C"/>
          <w:lang w:eastAsia="en-GB"/>
        </w:rPr>
        <w:t>a same-sex relationship may be lawful but local society can be intolerant of open same-sex relationships</w:t>
      </w:r>
    </w:p>
    <w:p w:rsidR="001C09FB" w:rsidRPr="001C09FB" w:rsidRDefault="001C09FB" w:rsidP="001C09FB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lang w:eastAsia="en-GB"/>
        </w:rPr>
      </w:pPr>
      <w:r w:rsidRPr="001C09FB">
        <w:rPr>
          <w:rFonts w:eastAsia="Times New Roman" w:cstheme="minorHAnsi"/>
          <w:color w:val="0B0C0C"/>
          <w:lang w:eastAsia="en-GB"/>
        </w:rPr>
        <w:t>in some countries same-sex relationships are illegal, but the law is not strictly enforced and social attitudes may be relaxed</w:t>
      </w:r>
    </w:p>
    <w:p w:rsidR="001C09FB" w:rsidRDefault="001C09FB" w:rsidP="001C09FB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lang w:eastAsia="en-GB"/>
        </w:rPr>
      </w:pPr>
      <w:r w:rsidRPr="001C09FB">
        <w:rPr>
          <w:rFonts w:eastAsia="Times New Roman" w:cstheme="minorHAnsi"/>
          <w:color w:val="0B0C0C"/>
          <w:lang w:eastAsia="en-GB"/>
        </w:rPr>
        <w:t>a distinction is sometime made in law between men and women</w:t>
      </w:r>
    </w:p>
    <w:p w:rsidR="00DE3F6E" w:rsidRDefault="00DE3F6E" w:rsidP="00DE3F6E">
      <w:pPr>
        <w:shd w:val="clear" w:color="auto" w:fill="FFFFFF"/>
        <w:spacing w:after="75" w:line="240" w:lineRule="auto"/>
        <w:ind w:left="720"/>
        <w:rPr>
          <w:rFonts w:eastAsia="Times New Roman" w:cstheme="minorHAnsi"/>
          <w:color w:val="0B0C0C"/>
          <w:lang w:eastAsia="en-GB"/>
        </w:rPr>
      </w:pPr>
      <w:proofErr w:type="gramStart"/>
      <w:r>
        <w:rPr>
          <w:rFonts w:eastAsia="Times New Roman" w:cstheme="minorHAnsi"/>
          <w:color w:val="0B0C0C"/>
          <w:lang w:eastAsia="en-GB"/>
        </w:rPr>
        <w:lastRenderedPageBreak/>
        <w:t>Therefore</w:t>
      </w:r>
      <w:proofErr w:type="gramEnd"/>
      <w:r>
        <w:rPr>
          <w:rFonts w:eastAsia="Times New Roman" w:cstheme="minorHAnsi"/>
          <w:color w:val="0B0C0C"/>
          <w:lang w:eastAsia="en-GB"/>
        </w:rPr>
        <w:t xml:space="preserve"> it would not be helpful to simplify the complex legal / societal</w:t>
      </w:r>
      <w:bookmarkStart w:id="0" w:name="_GoBack"/>
      <w:bookmarkEnd w:id="0"/>
      <w:r>
        <w:rPr>
          <w:rFonts w:eastAsia="Times New Roman" w:cstheme="minorHAnsi"/>
          <w:color w:val="0B0C0C"/>
          <w:lang w:eastAsia="en-GB"/>
        </w:rPr>
        <w:t xml:space="preserve"> situation of hundreds of countries into a simple list.</w:t>
      </w:r>
    </w:p>
    <w:p w:rsidR="001C09FB" w:rsidRPr="001C09FB" w:rsidRDefault="001C09FB" w:rsidP="001C09FB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lang w:eastAsia="en-GB"/>
        </w:rPr>
      </w:pPr>
    </w:p>
    <w:p w:rsidR="001C09FB" w:rsidRDefault="001C09FB"/>
    <w:sectPr w:rsidR="001C0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06A"/>
    <w:multiLevelType w:val="hybridMultilevel"/>
    <w:tmpl w:val="E872F5B6"/>
    <w:lvl w:ilvl="0" w:tplc="63006FE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CC705E"/>
    <w:multiLevelType w:val="multilevel"/>
    <w:tmpl w:val="4D0C56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D2C05"/>
    <w:multiLevelType w:val="hybridMultilevel"/>
    <w:tmpl w:val="F5A2C8B2"/>
    <w:lvl w:ilvl="0" w:tplc="8D1CD06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DA32490"/>
    <w:multiLevelType w:val="multilevel"/>
    <w:tmpl w:val="BFC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85275A"/>
    <w:multiLevelType w:val="hybridMultilevel"/>
    <w:tmpl w:val="C8389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5F"/>
    <w:rsid w:val="001C09FB"/>
    <w:rsid w:val="004F215F"/>
    <w:rsid w:val="005950C4"/>
    <w:rsid w:val="00674C80"/>
    <w:rsid w:val="007F1B92"/>
    <w:rsid w:val="0082497D"/>
    <w:rsid w:val="00BA7DFA"/>
    <w:rsid w:val="00D36372"/>
    <w:rsid w:val="00DE3F6E"/>
    <w:rsid w:val="00F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8A61"/>
  <w15:chartTrackingRefBased/>
  <w15:docId w15:val="{2015686C-A23F-4859-8CD2-292558CC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09F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0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C09FB"/>
    <w:rPr>
      <w:color w:val="0000FF"/>
      <w:u w:val="single"/>
    </w:rPr>
  </w:style>
  <w:style w:type="table" w:styleId="TableGrid">
    <w:name w:val="Table Grid"/>
    <w:basedOn w:val="TableNormal"/>
    <w:uiPriority w:val="39"/>
    <w:rsid w:val="001C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637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3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world/embass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ga.org/maps-sexual-orientation-laws" TargetMode="External"/><Relationship Id="rId12" Type="http://schemas.openxmlformats.org/officeDocument/2006/relationships/hyperlink" Target="https://www.equaldex.com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ilga.org/" TargetMode="External"/><Relationship Id="rId11" Type="http://schemas.openxmlformats.org/officeDocument/2006/relationships/hyperlink" Target="https://www.outofoffice.com/travel-advice" TargetMode="External"/><Relationship Id="rId5" Type="http://schemas.openxmlformats.org/officeDocument/2006/relationships/hyperlink" Target="https://www.gov.uk/foreign-travel-advice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geta-europe.org/gay-travel-advice-europ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lt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87199F03A874CB94A934D0D5200FE" ma:contentTypeVersion="10" ma:contentTypeDescription="Create a new document." ma:contentTypeScope="" ma:versionID="5168d85ce2e0269009e9fbfb786db020">
  <xsd:schema xmlns:xsd="http://www.w3.org/2001/XMLSchema" xmlns:xs="http://www.w3.org/2001/XMLSchema" xmlns:p="http://schemas.microsoft.com/office/2006/metadata/properties" xmlns:ns2="74eaffc8-dbc4-4caf-b3c7-444a6c33fe91" xmlns:ns3="4361c927-fcb6-40af-b48f-68386e596eff" targetNamespace="http://schemas.microsoft.com/office/2006/metadata/properties" ma:root="true" ma:fieldsID="8f7e4c5e0d85cd9d54e325de15f2576e" ns2:_="" ns3:_="">
    <xsd:import namespace="74eaffc8-dbc4-4caf-b3c7-444a6c33fe91"/>
    <xsd:import namespace="4361c927-fcb6-40af-b48f-68386e596e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ffc8-dbc4-4caf-b3c7-444a6c33fe9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1c927-fcb6-40af-b48f-68386e596e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f8b6ef5-48ea-4e0d-b3d5-8485ee9045ce}" ma:internalName="TaxCatchAll" ma:showField="CatchAllData" ma:web="4361c927-fcb6-40af-b48f-68386e596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affc8-dbc4-4caf-b3c7-444a6c33fe91">
      <Terms xmlns="http://schemas.microsoft.com/office/infopath/2007/PartnerControls"/>
    </lcf76f155ced4ddcb4097134ff3c332f>
    <TaxCatchAll xmlns="4361c927-fcb6-40af-b48f-68386e596eff" xsi:nil="true"/>
  </documentManagement>
</p:properties>
</file>

<file path=customXml/itemProps1.xml><?xml version="1.0" encoding="utf-8"?>
<ds:datastoreItem xmlns:ds="http://schemas.openxmlformats.org/officeDocument/2006/customXml" ds:itemID="{31C86BEB-B540-47AE-BA97-F003358F6C57}"/>
</file>

<file path=customXml/itemProps2.xml><?xml version="1.0" encoding="utf-8"?>
<ds:datastoreItem xmlns:ds="http://schemas.openxmlformats.org/officeDocument/2006/customXml" ds:itemID="{DEFA6F9A-FB76-4FF4-B804-54FC09AF830B}"/>
</file>

<file path=customXml/itemProps3.xml><?xml version="1.0" encoding="utf-8"?>
<ds:datastoreItem xmlns:ds="http://schemas.openxmlformats.org/officeDocument/2006/customXml" ds:itemID="{D7A6D4F2-FA26-4C2C-9974-1DD96559E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Lamyman</dc:creator>
  <cp:keywords/>
  <dc:description/>
  <cp:lastModifiedBy>Becky Lamyman</cp:lastModifiedBy>
  <cp:revision>2</cp:revision>
  <dcterms:created xsi:type="dcterms:W3CDTF">2019-07-22T13:56:00Z</dcterms:created>
  <dcterms:modified xsi:type="dcterms:W3CDTF">2019-07-22T13:56:00Z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0x01010095487199F03A874CB94A934D0D5200FE</vt:lpwstr>
  </property>
</Properties>
</file>