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66216" w:rsidR="00D66216" w:rsidP="00D66216" w:rsidRDefault="00D66216" w14:paraId="233202E9" w14:textId="77777777">
      <w:pPr>
        <w:jc w:val="center"/>
        <w:rPr>
          <w:b/>
          <w:bCs/>
        </w:rPr>
      </w:pPr>
      <w:r w:rsidRPr="00D66216">
        <w:rPr>
          <w:b/>
          <w:bCs/>
        </w:rPr>
        <w:t>University of Kent</w:t>
      </w:r>
    </w:p>
    <w:p w:rsidRPr="00D66216" w:rsidR="00D66216" w:rsidP="00D66216" w:rsidRDefault="00D66216" w14:paraId="50A659EB" w14:textId="77777777">
      <w:pPr>
        <w:jc w:val="center"/>
        <w:rPr>
          <w:b/>
          <w:bCs/>
        </w:rPr>
      </w:pPr>
      <w:r w:rsidRPr="00D66216">
        <w:rPr>
          <w:b/>
          <w:bCs/>
        </w:rPr>
        <w:t>Guidance for Students Accused of Sexual Misconduct</w:t>
      </w:r>
    </w:p>
    <w:p w:rsidRPr="00D66216" w:rsidR="00D66216" w:rsidP="00D66216" w:rsidRDefault="00D66216" w14:paraId="18D46BD5" w14:textId="77777777">
      <w:r w:rsidRPr="00D66216">
        <w:rPr>
          <w:i/>
          <w:iCs/>
        </w:rPr>
        <w:t>Support, Process &amp; What to Expect</w:t>
      </w:r>
    </w:p>
    <w:p w:rsidRPr="00D66216" w:rsidR="00D66216" w:rsidP="00D66216" w:rsidRDefault="00136572" w14:paraId="28398D97" w14:textId="77777777">
      <w:r>
        <w:pict w14:anchorId="3BFB9851">
          <v:rect id="_x0000_i1025" style="width:0;height:1.5pt" o:hr="t" o:hrstd="t" o:hralign="center" fillcolor="#a0a0a0" stroked="f"/>
        </w:pict>
      </w:r>
    </w:p>
    <w:p w:rsidRPr="00D66216" w:rsidR="00D66216" w:rsidP="00D66216" w:rsidRDefault="00D66216" w14:paraId="42F9B112" w14:textId="77777777">
      <w:pPr>
        <w:rPr>
          <w:b/>
          <w:bCs/>
        </w:rPr>
      </w:pPr>
      <w:r w:rsidRPr="00D66216">
        <w:rPr>
          <w:b/>
          <w:bCs/>
        </w:rPr>
        <w:t>Understanding the Allegation</w:t>
      </w:r>
    </w:p>
    <w:p w:rsidRPr="00D66216" w:rsidR="00D66216" w:rsidP="00D66216" w:rsidRDefault="00D66216" w14:paraId="000AE9DE" w14:textId="46F71B8C">
      <w:r w:rsidR="00D66216">
        <w:rPr/>
        <w:t xml:space="preserve">Being accused of sexual misconduct is a serious and potentially distressing experience. The University of Kent is committed to treating all students fairly and with </w:t>
      </w:r>
      <w:r w:rsidR="5B693618">
        <w:rPr/>
        <w:t>respect and</w:t>
      </w:r>
      <w:r w:rsidR="00D66216">
        <w:rPr/>
        <w:t xml:space="preserve"> will ensure that due process and principles of natural justice are followed throughout the investigation.</w:t>
      </w:r>
    </w:p>
    <w:p w:rsidRPr="00D66216" w:rsidR="00D66216" w:rsidP="00D66216" w:rsidRDefault="00D66216" w14:paraId="3DBA9375" w14:textId="77777777">
      <w:pPr>
        <w:rPr>
          <w:b/>
          <w:bCs/>
        </w:rPr>
      </w:pPr>
      <w:r w:rsidRPr="00D66216">
        <w:rPr>
          <w:b/>
          <w:bCs/>
        </w:rPr>
        <w:t>How Allegations Are Made</w:t>
      </w:r>
    </w:p>
    <w:p w:rsidRPr="00D66216" w:rsidR="00D66216" w:rsidP="00D66216" w:rsidRDefault="00D66216" w14:paraId="39B7D6FB" w14:textId="77777777">
      <w:r w:rsidRPr="00D66216">
        <w:t>Reports may come via:</w:t>
      </w:r>
    </w:p>
    <w:p w:rsidRPr="00D66216" w:rsidR="00D66216" w:rsidP="00D66216" w:rsidRDefault="00D66216" w14:paraId="5CBF3CBD" w14:textId="77777777">
      <w:pPr>
        <w:numPr>
          <w:ilvl w:val="0"/>
          <w:numId w:val="1"/>
        </w:numPr>
      </w:pPr>
      <w:r w:rsidRPr="00D66216">
        <w:rPr>
          <w:b/>
          <w:bCs/>
        </w:rPr>
        <w:t>Report + Support</w:t>
      </w:r>
      <w:r w:rsidRPr="00D66216">
        <w:t xml:space="preserve"> submissions</w:t>
      </w:r>
    </w:p>
    <w:p w:rsidRPr="00D66216" w:rsidR="00D66216" w:rsidP="00D66216" w:rsidRDefault="00D66216" w14:paraId="2F8A0B88" w14:textId="77777777">
      <w:pPr>
        <w:numPr>
          <w:ilvl w:val="0"/>
          <w:numId w:val="1"/>
        </w:numPr>
        <w:rPr/>
      </w:pPr>
      <w:r w:rsidR="00D66216">
        <w:rPr/>
        <w:t xml:space="preserve">Referrals </w:t>
      </w:r>
      <w:r w:rsidR="00D66216">
        <w:rPr/>
        <w:t>from staff or students</w:t>
      </w:r>
    </w:p>
    <w:p w:rsidRPr="00D66216" w:rsidR="00D66216" w:rsidP="00D66216" w:rsidRDefault="00D66216" w14:paraId="5DE93752" w14:textId="77777777">
      <w:pPr>
        <w:numPr>
          <w:ilvl w:val="0"/>
          <w:numId w:val="1"/>
        </w:numPr>
      </w:pPr>
      <w:r w:rsidRPr="00D66216">
        <w:t>Notifications from the police</w:t>
      </w:r>
    </w:p>
    <w:p w:rsidRPr="00D66216" w:rsidR="00D66216" w:rsidP="00D66216" w:rsidRDefault="00D66216" w14:paraId="56FC399A" w14:textId="77777777">
      <w:r w:rsidRPr="00D66216">
        <w:t xml:space="preserve">You will receive formal notification via email from the </w:t>
      </w:r>
      <w:r w:rsidRPr="00D66216">
        <w:rPr>
          <w:b/>
          <w:bCs/>
        </w:rPr>
        <w:t>Appeals, Conduct and Complaints Office (ACCO)</w:t>
      </w:r>
      <w:r w:rsidRPr="00D66216">
        <w:t xml:space="preserve"> outlining the nature of the allegation and inviting you to a meeting.</w:t>
      </w:r>
    </w:p>
    <w:p w:rsidRPr="00D66216" w:rsidR="00D66216" w:rsidP="00D66216" w:rsidRDefault="00D66216" w14:paraId="253AA99B" w14:textId="77777777">
      <w:r w:rsidRPr="00D66216">
        <w:rPr>
          <w:b/>
          <w:bCs/>
        </w:rPr>
        <w:t>Important:</w:t>
      </w:r>
    </w:p>
    <w:p w:rsidRPr="00D66216" w:rsidR="00D66216" w:rsidP="00D66216" w:rsidRDefault="00D66216" w14:paraId="56895EEC" w14:textId="77777777">
      <w:pPr>
        <w:numPr>
          <w:ilvl w:val="0"/>
          <w:numId w:val="2"/>
        </w:numPr>
      </w:pPr>
      <w:r w:rsidRPr="00D66216">
        <w:t xml:space="preserve">Do </w:t>
      </w:r>
      <w:r w:rsidRPr="00D66216">
        <w:rPr>
          <w:b/>
          <w:bCs/>
        </w:rPr>
        <w:t>not</w:t>
      </w:r>
      <w:r w:rsidRPr="00D66216">
        <w:t xml:space="preserve"> contact the reporting student.</w:t>
      </w:r>
    </w:p>
    <w:p w:rsidRPr="00D66216" w:rsidR="00D66216" w:rsidP="00D66216" w:rsidRDefault="00D66216" w14:paraId="6F0B65BD" w14:textId="77777777">
      <w:pPr>
        <w:numPr>
          <w:ilvl w:val="0"/>
          <w:numId w:val="2"/>
        </w:numPr>
      </w:pPr>
      <w:r w:rsidRPr="00D66216">
        <w:t xml:space="preserve">Do </w:t>
      </w:r>
      <w:r w:rsidRPr="00D66216">
        <w:rPr>
          <w:b/>
          <w:bCs/>
        </w:rPr>
        <w:t>not</w:t>
      </w:r>
      <w:r w:rsidRPr="00D66216">
        <w:t xml:space="preserve"> discuss the case publicly or on social media.</w:t>
      </w:r>
    </w:p>
    <w:p w:rsidRPr="00D66216" w:rsidR="00D66216" w:rsidP="00D66216" w:rsidRDefault="00D66216" w14:paraId="234AF3FB" w14:textId="77777777">
      <w:pPr>
        <w:numPr>
          <w:ilvl w:val="0"/>
          <w:numId w:val="2"/>
        </w:numPr>
      </w:pPr>
      <w:r w:rsidRPr="00D66216">
        <w:t xml:space="preserve">Keep </w:t>
      </w:r>
      <w:r w:rsidRPr="00D66216">
        <w:rPr>
          <w:b/>
          <w:bCs/>
        </w:rPr>
        <w:t>records</w:t>
      </w:r>
      <w:r w:rsidRPr="00D66216">
        <w:t xml:space="preserve"> (messages, emails, screenshots, timelines).</w:t>
      </w:r>
    </w:p>
    <w:p w:rsidRPr="00D66216" w:rsidR="00D66216" w:rsidP="00D66216" w:rsidRDefault="00D66216" w14:paraId="0D7EA274" w14:textId="77777777">
      <w:pPr>
        <w:numPr>
          <w:ilvl w:val="0"/>
          <w:numId w:val="2"/>
        </w:numPr>
      </w:pPr>
      <w:r w:rsidRPr="00D66216">
        <w:t>Respond honestly to all communication and attend scheduled meetings.</w:t>
      </w:r>
    </w:p>
    <w:p w:rsidRPr="00D66216" w:rsidR="00D66216" w:rsidP="00D66216" w:rsidRDefault="00D66216" w14:paraId="4E2AED71" w14:textId="77777777">
      <w:pPr>
        <w:numPr>
          <w:ilvl w:val="0"/>
          <w:numId w:val="2"/>
        </w:numPr>
      </w:pPr>
      <w:r w:rsidRPr="00D66216">
        <w:t xml:space="preserve">Seek support—you are </w:t>
      </w:r>
      <w:r w:rsidRPr="00D66216">
        <w:rPr>
          <w:b/>
          <w:bCs/>
        </w:rPr>
        <w:t>not alone</w:t>
      </w:r>
      <w:r w:rsidRPr="00D66216">
        <w:t xml:space="preserve"> in this process.</w:t>
      </w:r>
    </w:p>
    <w:p w:rsidRPr="00D66216" w:rsidR="00D66216" w:rsidP="00D66216" w:rsidRDefault="00136572" w14:paraId="5FE3F5D2" w14:textId="77777777">
      <w:r>
        <w:pict w14:anchorId="3E0F241B">
          <v:rect id="_x0000_i1026" style="width:0;height:1.5pt" o:hr="t" o:hrstd="t" o:hralign="center" fillcolor="#a0a0a0" stroked="f"/>
        </w:pict>
      </w:r>
    </w:p>
    <w:p w:rsidRPr="00D66216" w:rsidR="00D66216" w:rsidP="00D66216" w:rsidRDefault="00D66216" w14:paraId="475A5719" w14:textId="77777777">
      <w:pPr>
        <w:rPr>
          <w:b/>
          <w:bCs/>
        </w:rPr>
      </w:pPr>
      <w:r w:rsidRPr="00D66216">
        <w:rPr>
          <w:b/>
          <w:bCs/>
        </w:rPr>
        <w:t>Your Rights</w:t>
      </w:r>
    </w:p>
    <w:p w:rsidRPr="00D66216" w:rsidR="00D66216" w:rsidP="00D66216" w:rsidRDefault="00D66216" w14:paraId="6FCC43CE" w14:textId="77777777">
      <w:r w:rsidRPr="00D66216">
        <w:t>As a student at the University of Kent, you have the right to:</w:t>
      </w:r>
    </w:p>
    <w:p w:rsidRPr="00D66216" w:rsidR="00D66216" w:rsidP="34DD3113" w:rsidRDefault="00D66216" w14:paraId="0A521AFE" w14:textId="00D05A67">
      <w:pPr>
        <w:numPr>
          <w:ilvl w:val="0"/>
          <w:numId w:val="3"/>
        </w:numPr>
        <w:rPr>
          <w:b w:val="1"/>
          <w:bCs w:val="1"/>
        </w:rPr>
      </w:pPr>
      <w:r w:rsidR="00D66216">
        <w:rPr/>
        <w:t xml:space="preserve">Be presumed </w:t>
      </w:r>
      <w:r w:rsidRPr="34DD3113" w:rsidR="00D66216">
        <w:rPr>
          <w:b w:val="1"/>
          <w:bCs w:val="1"/>
        </w:rPr>
        <w:t>not in breach</w:t>
      </w:r>
      <w:r w:rsidR="00D66216">
        <w:rPr/>
        <w:t xml:space="preserve"> of the Student Discipline Procedure unless proven on the </w:t>
      </w:r>
      <w:r w:rsidRPr="34DD3113" w:rsidR="00D66216">
        <w:rPr>
          <w:b w:val="1"/>
          <w:bCs w:val="1"/>
        </w:rPr>
        <w:t>balance of probabilities</w:t>
      </w:r>
      <w:r w:rsidRPr="34DD3113" w:rsidR="6EBAE97A">
        <w:rPr>
          <w:b w:val="1"/>
          <w:bCs w:val="1"/>
        </w:rPr>
        <w:t xml:space="preserve"> </w:t>
      </w:r>
      <w:r w:rsidR="6EBAE97A">
        <w:rPr>
          <w:b w:val="0"/>
          <w:bCs w:val="0"/>
        </w:rPr>
        <w:t xml:space="preserve">(a decision that an incident is more likely than not to have happened’. </w:t>
      </w:r>
    </w:p>
    <w:p w:rsidRPr="00D66216" w:rsidR="00D66216" w:rsidP="00D66216" w:rsidRDefault="00D66216" w14:paraId="0AE23E25" w14:textId="77777777">
      <w:pPr>
        <w:numPr>
          <w:ilvl w:val="0"/>
          <w:numId w:val="3"/>
        </w:numPr>
      </w:pPr>
      <w:r w:rsidRPr="00D66216">
        <w:t xml:space="preserve">A </w:t>
      </w:r>
      <w:r w:rsidRPr="00D66216">
        <w:rPr>
          <w:b/>
          <w:bCs/>
        </w:rPr>
        <w:t>fair and impartial investigation</w:t>
      </w:r>
    </w:p>
    <w:p w:rsidRPr="00D66216" w:rsidR="00D66216" w:rsidP="00D66216" w:rsidRDefault="00D66216" w14:paraId="2476C9F0" w14:textId="77777777">
      <w:pPr>
        <w:numPr>
          <w:ilvl w:val="0"/>
          <w:numId w:val="3"/>
        </w:numPr>
      </w:pPr>
      <w:r w:rsidRPr="00D66216">
        <w:rPr>
          <w:b/>
          <w:bCs/>
        </w:rPr>
        <w:t>Respond to allegations</w:t>
      </w:r>
      <w:r w:rsidRPr="00D66216">
        <w:t xml:space="preserve"> and submit evidence</w:t>
      </w:r>
    </w:p>
    <w:p w:rsidRPr="00D66216" w:rsidR="00D66216" w:rsidP="00D66216" w:rsidRDefault="00D66216" w14:paraId="7C2DD460" w14:textId="77777777">
      <w:pPr>
        <w:numPr>
          <w:ilvl w:val="0"/>
          <w:numId w:val="3"/>
        </w:numPr>
      </w:pPr>
      <w:r w:rsidRPr="00D66216">
        <w:t xml:space="preserve">Be accompanied to meetings by an </w:t>
      </w:r>
      <w:r w:rsidRPr="00D66216">
        <w:rPr>
          <w:b/>
          <w:bCs/>
        </w:rPr>
        <w:t>advisor</w:t>
      </w:r>
      <w:r w:rsidRPr="00D66216">
        <w:t>, friend, or legal representative</w:t>
      </w:r>
    </w:p>
    <w:p w:rsidRPr="00D66216" w:rsidR="00D66216" w:rsidP="00D66216" w:rsidRDefault="00D66216" w14:paraId="05395F10" w14:textId="77777777">
      <w:pPr>
        <w:numPr>
          <w:ilvl w:val="0"/>
          <w:numId w:val="3"/>
        </w:numPr>
      </w:pPr>
      <w:r w:rsidRPr="00D66216">
        <w:rPr>
          <w:b/>
          <w:bCs/>
        </w:rPr>
        <w:t>Confidentiality</w:t>
      </w:r>
      <w:r w:rsidRPr="00D66216">
        <w:t>, within the boundaries required for a fair and lawful investigation</w:t>
      </w:r>
    </w:p>
    <w:p w:rsidRPr="00D66216" w:rsidR="00D66216" w:rsidP="00D66216" w:rsidRDefault="00136572" w14:paraId="0500A9C7" w14:textId="77777777">
      <w:r>
        <w:pict w14:anchorId="65E900FD">
          <v:rect id="_x0000_i1027" style="width:0;height:1.5pt" o:hr="t" o:hrstd="t" o:hralign="center" fillcolor="#a0a0a0" stroked="f"/>
        </w:pict>
      </w:r>
    </w:p>
    <w:p w:rsidRPr="00D66216" w:rsidR="00D66216" w:rsidP="00D66216" w:rsidRDefault="00D66216" w14:paraId="057DFD48" w14:textId="77777777">
      <w:pPr>
        <w:rPr>
          <w:b/>
          <w:bCs/>
        </w:rPr>
      </w:pPr>
      <w:r w:rsidRPr="00D66216">
        <w:rPr>
          <w:b/>
          <w:bCs/>
        </w:rPr>
        <w:t>Support Services Available</w:t>
      </w:r>
    </w:p>
    <w:p w:rsidRPr="00D66216" w:rsidR="00D66216" w:rsidP="00D66216" w:rsidRDefault="00D66216" w14:paraId="4D6A594B" w14:textId="6ED89DBD">
      <w:r w:rsidRPr="34DD3113" w:rsidR="00D66216">
        <w:rPr>
          <w:b w:val="1"/>
          <w:bCs w:val="1"/>
        </w:rPr>
        <w:t>Student Support and Wellbeing (SSW)</w:t>
      </w:r>
      <w:r>
        <w:br/>
      </w:r>
      <w:r w:rsidR="00D66216">
        <w:rPr/>
        <w:t xml:space="preserve"> KentSSW@kent.ac.uk </w:t>
      </w:r>
      <w:r w:rsidR="2C465FA1">
        <w:rPr/>
        <w:t>| 01227</w:t>
      </w:r>
      <w:r w:rsidR="00D66216">
        <w:rPr/>
        <w:t xml:space="preserve"> 823158</w:t>
      </w:r>
      <w:r>
        <w:br/>
      </w:r>
      <w:r w:rsidR="00D66216">
        <w:rPr/>
        <w:t>Offers wellbeing and mental health support.</w:t>
      </w:r>
    </w:p>
    <w:p w:rsidRPr="00D66216" w:rsidR="00D66216" w:rsidP="00D66216" w:rsidRDefault="00D66216" w14:paraId="03F07D8C" w14:textId="42B0DA52">
      <w:r w:rsidRPr="00D66216">
        <w:rPr>
          <w:b/>
          <w:bCs/>
        </w:rPr>
        <w:t xml:space="preserve">Kent </w:t>
      </w:r>
      <w:r>
        <w:rPr>
          <w:b/>
          <w:bCs/>
        </w:rPr>
        <w:t xml:space="preserve">Students’ </w:t>
      </w:r>
      <w:r w:rsidRPr="00D66216">
        <w:rPr>
          <w:b/>
          <w:bCs/>
        </w:rPr>
        <w:t>Union Advice Centre</w:t>
      </w:r>
      <w:r w:rsidRPr="00D66216">
        <w:br/>
      </w:r>
      <w:r w:rsidRPr="00D66216">
        <w:t xml:space="preserve"> </w:t>
      </w:r>
      <w:hyperlink w:tgtFrame="_new" w:history="1" r:id="rId11">
        <w:r w:rsidRPr="00D66216">
          <w:rPr>
            <w:rStyle w:val="Hyperlink"/>
          </w:rPr>
          <w:t>kentunion.co.uk/advice</w:t>
        </w:r>
      </w:hyperlink>
      <w:r w:rsidRPr="00D66216">
        <w:br/>
      </w:r>
      <w:r w:rsidRPr="00D66216">
        <w:t xml:space="preserve">Provides </w:t>
      </w:r>
      <w:r w:rsidRPr="00D66216">
        <w:rPr>
          <w:b/>
          <w:bCs/>
        </w:rPr>
        <w:t>independent</w:t>
      </w:r>
      <w:r w:rsidRPr="00D66216">
        <w:t xml:space="preserve"> support and advice for accused students.</w:t>
      </w:r>
    </w:p>
    <w:p w:rsidRPr="00D66216" w:rsidR="00D66216" w:rsidP="00D66216" w:rsidRDefault="00136572" w14:paraId="3C0D1B88" w14:textId="77777777">
      <w:r>
        <w:pict w14:anchorId="36D7DA4E">
          <v:rect id="_x0000_i1028" style="width:0;height:1.5pt" o:hr="t" o:hrstd="t" o:hralign="center" fillcolor="#a0a0a0" stroked="f"/>
        </w:pict>
      </w:r>
    </w:p>
    <w:p w:rsidRPr="00D66216" w:rsidR="00D66216" w:rsidP="00D66216" w:rsidRDefault="00D66216" w14:paraId="5DE608AC" w14:textId="77777777">
      <w:pPr>
        <w:rPr>
          <w:b/>
          <w:bCs/>
        </w:rPr>
      </w:pPr>
      <w:r w:rsidRPr="00D66216">
        <w:rPr>
          <w:b/>
          <w:bCs/>
        </w:rPr>
        <w:t>Investigation Process</w:t>
      </w:r>
    </w:p>
    <w:p w:rsidRPr="00D66216" w:rsidR="00D66216" w:rsidP="00D66216" w:rsidRDefault="00D66216" w14:paraId="5CE78746" w14:textId="77777777">
      <w:pPr>
        <w:rPr>
          <w:b/>
          <w:bCs/>
        </w:rPr>
      </w:pPr>
      <w:r w:rsidRPr="00D66216">
        <w:rPr>
          <w:b/>
          <w:bCs/>
        </w:rPr>
        <w:t>A. Initial Steps</w:t>
      </w:r>
    </w:p>
    <w:p w:rsidRPr="00D66216" w:rsidR="00D66216" w:rsidP="00D66216" w:rsidRDefault="00D66216" w14:paraId="393D6BA3" w14:textId="77777777">
      <w:r w:rsidRPr="00D66216">
        <w:t xml:space="preserve">You will be invited to a </w:t>
      </w:r>
      <w:r w:rsidRPr="00D66216">
        <w:rPr>
          <w:b/>
          <w:bCs/>
        </w:rPr>
        <w:t>formal meeting</w:t>
      </w:r>
      <w:r w:rsidRPr="00D66216">
        <w:t xml:space="preserve"> with an Investigation Officer from ACCO.</w:t>
      </w:r>
    </w:p>
    <w:p w:rsidRPr="00D66216" w:rsidR="00D66216" w:rsidP="00D66216" w:rsidRDefault="00D66216" w14:paraId="04571294" w14:textId="77777777">
      <w:pPr>
        <w:numPr>
          <w:ilvl w:val="0"/>
          <w:numId w:val="4"/>
        </w:numPr>
      </w:pPr>
      <w:r w:rsidRPr="00D66216">
        <w:t xml:space="preserve">You will be informed of </w:t>
      </w:r>
      <w:r w:rsidRPr="00D66216">
        <w:rPr>
          <w:b/>
          <w:bCs/>
        </w:rPr>
        <w:t>interim precautionary measures</w:t>
      </w:r>
      <w:r w:rsidRPr="00D66216">
        <w:t>, if any (e.g., no-contact order, accommodation changes).</w:t>
      </w:r>
    </w:p>
    <w:p w:rsidRPr="00D66216" w:rsidR="00D66216" w:rsidP="00D66216" w:rsidRDefault="00D66216" w14:paraId="1B705A63" w14:textId="77777777">
      <w:pPr>
        <w:numPr>
          <w:ilvl w:val="0"/>
          <w:numId w:val="4"/>
        </w:numPr>
      </w:pPr>
      <w:r w:rsidRPr="00D66216">
        <w:t xml:space="preserve">These measures are </w:t>
      </w:r>
      <w:r w:rsidRPr="00D66216">
        <w:rPr>
          <w:b/>
          <w:bCs/>
        </w:rPr>
        <w:t>not disciplinary sanctions</w:t>
      </w:r>
      <w:r w:rsidRPr="00D66216">
        <w:t xml:space="preserve"> and are intended to ensure safety and wellbeing for all parties.</w:t>
      </w:r>
    </w:p>
    <w:p w:rsidRPr="00D66216" w:rsidR="00D66216" w:rsidP="00D66216" w:rsidRDefault="00D66216" w14:paraId="4048384B" w14:textId="63592A06">
      <w:r w:rsidRPr="00D66216">
        <w:rPr>
          <w:b/>
          <w:bCs/>
        </w:rPr>
        <w:t>Timeline:</w:t>
      </w:r>
      <w:r w:rsidRPr="00D66216">
        <w:br/>
      </w:r>
      <w:r w:rsidRPr="00D66216">
        <w:t xml:space="preserve">Typically arranged </w:t>
      </w:r>
      <w:r w:rsidRPr="00D66216">
        <w:rPr>
          <w:b/>
          <w:bCs/>
        </w:rPr>
        <w:t>within 5 working days</w:t>
      </w:r>
      <w:r w:rsidRPr="00D66216">
        <w:t xml:space="preserve"> of report receipt.</w:t>
      </w:r>
    </w:p>
    <w:p w:rsidRPr="00D66216" w:rsidR="00D66216" w:rsidP="00D66216" w:rsidRDefault="00136572" w14:paraId="2DA47528" w14:textId="77777777">
      <w:r>
        <w:pict w14:anchorId="11DEA77F">
          <v:rect id="_x0000_i1029" style="width:0;height:1.5pt" o:hr="t" o:hrstd="t" o:hralign="center" fillcolor="#a0a0a0" stroked="f"/>
        </w:pict>
      </w:r>
    </w:p>
    <w:p w:rsidRPr="00D66216" w:rsidR="00D66216" w:rsidP="00D66216" w:rsidRDefault="00D66216" w14:paraId="192F4631" w14:textId="77777777">
      <w:pPr>
        <w:rPr>
          <w:b/>
          <w:bCs/>
        </w:rPr>
      </w:pPr>
      <w:r w:rsidRPr="00D66216">
        <w:rPr>
          <w:b/>
          <w:bCs/>
        </w:rPr>
        <w:t>B. Evidence Gathering</w:t>
      </w:r>
    </w:p>
    <w:p w:rsidRPr="00D66216" w:rsidR="00D66216" w:rsidP="00D66216" w:rsidRDefault="00D66216" w14:paraId="45A4844A" w14:textId="77777777">
      <w:pPr>
        <w:numPr>
          <w:ilvl w:val="0"/>
          <w:numId w:val="5"/>
        </w:numPr>
      </w:pPr>
      <w:r w:rsidRPr="00D66216">
        <w:t>The Investigation Officer collects relevant materials such as messages, witness statements, and other documentation.</w:t>
      </w:r>
    </w:p>
    <w:p w:rsidRPr="00D66216" w:rsidR="00D66216" w:rsidP="00D66216" w:rsidRDefault="00D66216" w14:paraId="5373F774" w14:textId="77777777">
      <w:pPr>
        <w:numPr>
          <w:ilvl w:val="0"/>
          <w:numId w:val="5"/>
        </w:numPr>
      </w:pPr>
      <w:r w:rsidRPr="00D66216">
        <w:t xml:space="preserve">You may submit your </w:t>
      </w:r>
      <w:r w:rsidRPr="00D66216">
        <w:rPr>
          <w:b/>
          <w:bCs/>
        </w:rPr>
        <w:t>own evidence</w:t>
      </w:r>
      <w:r w:rsidRPr="00D66216">
        <w:t xml:space="preserve"> and suggest relevant witnesses.</w:t>
      </w:r>
    </w:p>
    <w:p w:rsidRPr="00D66216" w:rsidR="00D66216" w:rsidP="00D66216" w:rsidRDefault="00D66216" w14:paraId="22E8FE8D" w14:textId="77777777">
      <w:pPr>
        <w:numPr>
          <w:ilvl w:val="0"/>
          <w:numId w:val="5"/>
        </w:numPr>
      </w:pPr>
      <w:r w:rsidRPr="00D66216">
        <w:t>Information may be shared with the reporting party for response.</w:t>
      </w:r>
    </w:p>
    <w:p w:rsidRPr="00D66216" w:rsidR="00D66216" w:rsidP="00D66216" w:rsidRDefault="00D66216" w14:paraId="5F7A1FCB" w14:textId="4BE83663">
      <w:r w:rsidRPr="00D66216">
        <w:rPr>
          <w:b/>
          <w:bCs/>
        </w:rPr>
        <w:t>Timeline:</w:t>
      </w:r>
      <w:r w:rsidRPr="00D66216">
        <w:br/>
      </w:r>
      <w:r w:rsidRPr="00D66216">
        <w:t xml:space="preserve">The evidence-gathering phase aims to conclude within </w:t>
      </w:r>
      <w:r w:rsidRPr="00D66216">
        <w:rPr>
          <w:b/>
          <w:bCs/>
        </w:rPr>
        <w:t>30 working days</w:t>
      </w:r>
      <w:r w:rsidRPr="00D66216">
        <w:t>, though complex cases may take longer.</w:t>
      </w:r>
    </w:p>
    <w:p w:rsidRPr="00D66216" w:rsidR="00D66216" w:rsidP="00D66216" w:rsidRDefault="00136572" w14:paraId="6B228DE7" w14:textId="77777777">
      <w:r>
        <w:pict w14:anchorId="25CC7FB7">
          <v:rect id="_x0000_i1030" style="width:0;height:1.5pt" o:hr="t" o:hrstd="t" o:hralign="center" fillcolor="#a0a0a0" stroked="f"/>
        </w:pict>
      </w:r>
    </w:p>
    <w:p w:rsidRPr="00D66216" w:rsidR="00D66216" w:rsidP="00D66216" w:rsidRDefault="00D66216" w14:paraId="27AACAFC" w14:textId="77777777">
      <w:pPr>
        <w:rPr>
          <w:b/>
          <w:bCs/>
        </w:rPr>
      </w:pPr>
      <w:r w:rsidRPr="00D66216">
        <w:rPr>
          <w:b/>
          <w:bCs/>
        </w:rPr>
        <w:t>C. Decision-Making</w:t>
      </w:r>
    </w:p>
    <w:p w:rsidRPr="00D66216" w:rsidR="00D66216" w:rsidP="00D66216" w:rsidRDefault="00D66216" w14:paraId="5E39E6F5" w14:textId="77777777">
      <w:r w:rsidRPr="00D66216">
        <w:t xml:space="preserve">The outcome is based on the </w:t>
      </w:r>
      <w:r w:rsidRPr="00D66216">
        <w:rPr>
          <w:b/>
          <w:bCs/>
        </w:rPr>
        <w:t>balance of probabilities</w:t>
      </w:r>
      <w:r w:rsidRPr="00D66216">
        <w:t xml:space="preserve"> (i.e., more likely than not that a breach occurred).</w:t>
      </w:r>
    </w:p>
    <w:p w:rsidRPr="00D66216" w:rsidR="00D66216" w:rsidP="00D66216" w:rsidRDefault="00D66216" w14:paraId="6E5E34CB" w14:textId="77777777">
      <w:r w:rsidR="00D66216">
        <w:rPr/>
        <w:t>Possible outcomes</w:t>
      </w:r>
      <w:r w:rsidR="00D66216">
        <w:rPr/>
        <w:t xml:space="preserve"> </w:t>
      </w:r>
      <w:r w:rsidR="00D66216">
        <w:rPr/>
        <w:t>include</w:t>
      </w:r>
      <w:r w:rsidR="00D66216">
        <w:rPr/>
        <w:t>:</w:t>
      </w:r>
    </w:p>
    <w:p w:rsidRPr="00D66216" w:rsidR="00D66216" w:rsidP="00D66216" w:rsidRDefault="00D66216" w14:paraId="2F1C5040" w14:textId="77777777">
      <w:pPr>
        <w:numPr>
          <w:ilvl w:val="0"/>
          <w:numId w:val="6"/>
        </w:numPr>
      </w:pPr>
      <w:r w:rsidRPr="00D66216">
        <w:rPr>
          <w:b/>
          <w:bCs/>
        </w:rPr>
        <w:t>No case to answer</w:t>
      </w:r>
      <w:r w:rsidRPr="00D66216">
        <w:t xml:space="preserve"> – insufficient evidence</w:t>
      </w:r>
    </w:p>
    <w:p w:rsidRPr="00D66216" w:rsidR="00D66216" w:rsidP="00D66216" w:rsidRDefault="00D66216" w14:paraId="6C3F6E81" w14:textId="77777777">
      <w:pPr>
        <w:numPr>
          <w:ilvl w:val="0"/>
          <w:numId w:val="6"/>
        </w:numPr>
      </w:pPr>
      <w:r w:rsidRPr="00D66216">
        <w:rPr>
          <w:b/>
          <w:bCs/>
        </w:rPr>
        <w:t>Case upheld</w:t>
      </w:r>
      <w:r w:rsidRPr="00D66216">
        <w:t xml:space="preserve"> – sanctions may be issued directly by the Investigation Officer</w:t>
      </w:r>
    </w:p>
    <w:p w:rsidRPr="00D66216" w:rsidR="00D66216" w:rsidP="00D66216" w:rsidRDefault="00D66216" w14:paraId="587F4119" w14:textId="77777777">
      <w:pPr>
        <w:numPr>
          <w:ilvl w:val="0"/>
          <w:numId w:val="6"/>
        </w:numPr>
      </w:pPr>
      <w:r w:rsidRPr="00D66216">
        <w:rPr>
          <w:b/>
          <w:bCs/>
        </w:rPr>
        <w:t>Referral to a Student Disciplinary Panel</w:t>
      </w:r>
      <w:r w:rsidRPr="00D66216">
        <w:t xml:space="preserve"> – for serious or complex matters</w:t>
      </w:r>
    </w:p>
    <w:p w:rsidRPr="00D66216" w:rsidR="00D66216" w:rsidP="00D66216" w:rsidRDefault="00136572" w14:paraId="24F14E33" w14:textId="77777777">
      <w:r>
        <w:pict w14:anchorId="314C5B62">
          <v:rect id="_x0000_i1031" style="width:0;height:1.5pt" o:hr="t" o:hrstd="t" o:hralign="center" fillcolor="#a0a0a0" stroked="f"/>
        </w:pict>
      </w:r>
    </w:p>
    <w:p w:rsidRPr="00D66216" w:rsidR="00D66216" w:rsidP="00D66216" w:rsidRDefault="00D66216" w14:paraId="5851C681" w14:textId="77777777">
      <w:pPr>
        <w:rPr>
          <w:b/>
          <w:bCs/>
        </w:rPr>
      </w:pPr>
      <w:r w:rsidRPr="00D66216">
        <w:rPr>
          <w:b/>
          <w:bCs/>
        </w:rPr>
        <w:t>Student Disciplinary Panel</w:t>
      </w:r>
    </w:p>
    <w:p w:rsidRPr="00D66216" w:rsidR="00D66216" w:rsidP="00D66216" w:rsidRDefault="00D66216" w14:paraId="543923BF" w14:textId="77777777">
      <w:pPr>
        <w:rPr>
          <w:b/>
          <w:bCs/>
        </w:rPr>
      </w:pPr>
      <w:r w:rsidRPr="00D66216">
        <w:rPr>
          <w:b/>
          <w:bCs/>
        </w:rPr>
        <w:t>Purpose</w:t>
      </w:r>
    </w:p>
    <w:p w:rsidRPr="00D66216" w:rsidR="00D66216" w:rsidP="00D66216" w:rsidRDefault="00D66216" w14:paraId="2F1D2AE8" w14:textId="77777777">
      <w:r w:rsidRPr="00D66216">
        <w:t>The panel reviews serious or complex cases referred by the Investigation Officer and makes a final decision.</w:t>
      </w:r>
    </w:p>
    <w:p w:rsidRPr="00D66216" w:rsidR="00D66216" w:rsidP="00D66216" w:rsidRDefault="00D66216" w14:paraId="0D03DBED" w14:textId="5E9653A8">
      <w:r w:rsidRPr="00D66216">
        <w:rPr>
          <w:b/>
          <w:bCs/>
        </w:rPr>
        <w:t>Timeline:</w:t>
      </w:r>
      <w:r w:rsidRPr="00D66216">
        <w:br/>
      </w:r>
      <w:r w:rsidRPr="00D66216">
        <w:t xml:space="preserve">Hearings are usually scheduled within </w:t>
      </w:r>
      <w:r w:rsidRPr="00D66216">
        <w:rPr>
          <w:b/>
          <w:bCs/>
        </w:rPr>
        <w:t>20 working days</w:t>
      </w:r>
      <w:r w:rsidRPr="00D66216">
        <w:t xml:space="preserve"> of referral.</w:t>
      </w:r>
    </w:p>
    <w:p w:rsidRPr="00D66216" w:rsidR="00D66216" w:rsidP="00D66216" w:rsidRDefault="00136572" w14:paraId="6818DE2C" w14:textId="77777777">
      <w:r>
        <w:pict w14:anchorId="595A9884">
          <v:rect id="_x0000_i1032" style="width:0;height:1.5pt" o:hr="t" o:hrstd="t" o:hralign="center" fillcolor="#a0a0a0" stroked="f"/>
        </w:pict>
      </w:r>
    </w:p>
    <w:p w:rsidRPr="00D66216" w:rsidR="00D66216" w:rsidP="00D66216" w:rsidRDefault="00D66216" w14:paraId="1D103E57" w14:textId="77777777">
      <w:pPr>
        <w:rPr>
          <w:b/>
          <w:bCs/>
        </w:rPr>
      </w:pPr>
      <w:r w:rsidRPr="00D66216">
        <w:rPr>
          <w:b/>
          <w:bCs/>
        </w:rPr>
        <w:t>Before the Hearing</w:t>
      </w:r>
    </w:p>
    <w:p w:rsidRPr="00D66216" w:rsidR="00D66216" w:rsidP="00D66216" w:rsidRDefault="00D66216" w14:paraId="133448DB" w14:textId="77777777">
      <w:r w:rsidRPr="00D66216">
        <w:t xml:space="preserve">You will receive a formal </w:t>
      </w:r>
      <w:r w:rsidRPr="00D66216">
        <w:rPr>
          <w:b/>
          <w:bCs/>
        </w:rPr>
        <w:t>notification at least 10 working days</w:t>
      </w:r>
      <w:r w:rsidRPr="00D66216">
        <w:t xml:space="preserve"> in advance, including:</w:t>
      </w:r>
    </w:p>
    <w:p w:rsidRPr="00D66216" w:rsidR="00D66216" w:rsidP="00D66216" w:rsidRDefault="00D66216" w14:paraId="57DBA457" w14:textId="77777777">
      <w:pPr>
        <w:numPr>
          <w:ilvl w:val="0"/>
          <w:numId w:val="7"/>
        </w:numPr>
      </w:pPr>
      <w:r w:rsidRPr="00D66216">
        <w:t>Date, time, and location (online or in-person)</w:t>
      </w:r>
    </w:p>
    <w:p w:rsidRPr="00D66216" w:rsidR="00D66216" w:rsidP="00D66216" w:rsidRDefault="00D66216" w14:paraId="203C92F2" w14:textId="77777777">
      <w:pPr>
        <w:numPr>
          <w:ilvl w:val="0"/>
          <w:numId w:val="7"/>
        </w:numPr>
      </w:pPr>
      <w:r w:rsidRPr="00D66216">
        <w:t>Summary of allegations and evidence</w:t>
      </w:r>
    </w:p>
    <w:p w:rsidRPr="00D66216" w:rsidR="00D66216" w:rsidP="00D66216" w:rsidRDefault="00D66216" w14:paraId="4EDE129F" w14:textId="77777777">
      <w:pPr>
        <w:numPr>
          <w:ilvl w:val="0"/>
          <w:numId w:val="7"/>
        </w:numPr>
      </w:pPr>
      <w:r w:rsidRPr="00D66216">
        <w:t>Your rights and guidance on submitting further evidence or witnesses</w:t>
      </w:r>
    </w:p>
    <w:p w:rsidRPr="00D66216" w:rsidR="00D66216" w:rsidP="00D66216" w:rsidRDefault="00136572" w14:paraId="387D4D41" w14:textId="77777777">
      <w:r>
        <w:pict w14:anchorId="0399D899">
          <v:rect id="_x0000_i1033" style="width:0;height:1.5pt" o:hr="t" o:hrstd="t" o:hralign="center" fillcolor="#a0a0a0" stroked="f"/>
        </w:pict>
      </w:r>
    </w:p>
    <w:p w:rsidRPr="00D66216" w:rsidR="00D66216" w:rsidP="00D66216" w:rsidRDefault="00D66216" w14:paraId="3A099B3E" w14:textId="77777777">
      <w:pPr>
        <w:rPr>
          <w:b/>
          <w:bCs/>
        </w:rPr>
      </w:pPr>
      <w:r w:rsidRPr="00D66216">
        <w:rPr>
          <w:b/>
          <w:bCs/>
        </w:rPr>
        <w:t>Who Will Be Present</w:t>
      </w:r>
    </w:p>
    <w:p w:rsidRPr="00D66216" w:rsidR="00D66216" w:rsidP="00D66216" w:rsidRDefault="00D66216" w14:paraId="1D957131" w14:textId="77777777">
      <w:pPr>
        <w:numPr>
          <w:ilvl w:val="0"/>
          <w:numId w:val="8"/>
        </w:numPr>
      </w:pPr>
      <w:r w:rsidRPr="00D66216">
        <w:rPr>
          <w:b/>
          <w:bCs/>
        </w:rPr>
        <w:t>Panel Members</w:t>
      </w:r>
      <w:r w:rsidRPr="00D66216">
        <w:t xml:space="preserve"> (usually 3 University staff, occasionally including a student rep)</w:t>
      </w:r>
    </w:p>
    <w:p w:rsidRPr="00D66216" w:rsidR="00D66216" w:rsidP="00D66216" w:rsidRDefault="00D66216" w14:paraId="09242C36" w14:textId="77777777">
      <w:pPr>
        <w:numPr>
          <w:ilvl w:val="0"/>
          <w:numId w:val="8"/>
        </w:numPr>
      </w:pPr>
      <w:r w:rsidRPr="00D66216">
        <w:rPr>
          <w:b/>
          <w:bCs/>
        </w:rPr>
        <w:t>You and your advisor</w:t>
      </w:r>
      <w:r w:rsidRPr="00D66216">
        <w:t xml:space="preserve"> (legal or non-legal)</w:t>
      </w:r>
    </w:p>
    <w:p w:rsidRPr="00D66216" w:rsidR="00D66216" w:rsidP="00D66216" w:rsidRDefault="00D66216" w14:paraId="4BC0CB10" w14:textId="77777777">
      <w:pPr>
        <w:numPr>
          <w:ilvl w:val="0"/>
          <w:numId w:val="8"/>
        </w:numPr>
      </w:pPr>
      <w:r w:rsidRPr="00D66216">
        <w:rPr>
          <w:b/>
          <w:bCs/>
        </w:rPr>
        <w:t>Investigation Officer</w:t>
      </w:r>
      <w:r w:rsidRPr="00D66216">
        <w:t xml:space="preserve"> (provides evidence)</w:t>
      </w:r>
    </w:p>
    <w:p w:rsidRPr="00D66216" w:rsidR="00D66216" w:rsidP="00D66216" w:rsidRDefault="00D66216" w14:paraId="3E3B0E89" w14:textId="77777777">
      <w:pPr>
        <w:numPr>
          <w:ilvl w:val="0"/>
          <w:numId w:val="8"/>
        </w:numPr>
      </w:pPr>
      <w:r w:rsidRPr="00D66216">
        <w:rPr>
          <w:b/>
          <w:bCs/>
        </w:rPr>
        <w:t>Reporting student</w:t>
      </w:r>
      <w:r w:rsidRPr="00D66216">
        <w:t xml:space="preserve"> (usually via written statement)</w:t>
      </w:r>
    </w:p>
    <w:p w:rsidRPr="00D66216" w:rsidR="00D66216" w:rsidP="00D66216" w:rsidRDefault="00D66216" w14:paraId="7AA982EB" w14:textId="77777777">
      <w:pPr>
        <w:numPr>
          <w:ilvl w:val="0"/>
          <w:numId w:val="8"/>
        </w:numPr>
      </w:pPr>
      <w:r w:rsidRPr="00D66216">
        <w:rPr>
          <w:b/>
          <w:bCs/>
        </w:rPr>
        <w:t>Witnesses</w:t>
      </w:r>
      <w:r w:rsidRPr="00D66216">
        <w:t xml:space="preserve"> (if required)</w:t>
      </w:r>
    </w:p>
    <w:p w:rsidRPr="00D66216" w:rsidR="00D66216" w:rsidP="00D66216" w:rsidRDefault="00D66216" w14:paraId="541079D1" w14:textId="77777777">
      <w:pPr>
        <w:numPr>
          <w:ilvl w:val="0"/>
          <w:numId w:val="8"/>
        </w:numPr>
      </w:pPr>
      <w:r w:rsidRPr="00D66216">
        <w:rPr>
          <w:b/>
          <w:bCs/>
        </w:rPr>
        <w:t>Panel Secretary</w:t>
      </w:r>
      <w:r w:rsidRPr="00D66216">
        <w:t xml:space="preserve"> (to record proceedings)</w:t>
      </w:r>
    </w:p>
    <w:p w:rsidRPr="00D66216" w:rsidR="00D66216" w:rsidP="00D66216" w:rsidRDefault="00136572" w14:paraId="171E17ED" w14:textId="77777777">
      <w:r>
        <w:pict w14:anchorId="4017147D">
          <v:rect id="_x0000_i1034" style="width:0;height:1.5pt" o:hr="t" o:hrstd="t" o:hralign="center" fillcolor="#a0a0a0" stroked="f"/>
        </w:pict>
      </w:r>
    </w:p>
    <w:p w:rsidRPr="00D66216" w:rsidR="00D66216" w:rsidP="00D66216" w:rsidRDefault="00D66216" w14:paraId="7888A022" w14:textId="77777777">
      <w:pPr>
        <w:rPr>
          <w:b/>
          <w:bCs/>
        </w:rPr>
      </w:pPr>
      <w:r w:rsidRPr="00D66216">
        <w:rPr>
          <w:b/>
          <w:bCs/>
        </w:rPr>
        <w:t>During the Hearing</w:t>
      </w:r>
    </w:p>
    <w:p w:rsidRPr="00D66216" w:rsidR="00D66216" w:rsidP="00D66216" w:rsidRDefault="00D66216" w14:paraId="2C742BAB" w14:textId="77777777">
      <w:pPr>
        <w:numPr>
          <w:ilvl w:val="0"/>
          <w:numId w:val="9"/>
        </w:numPr>
      </w:pPr>
      <w:r w:rsidRPr="00D66216">
        <w:t xml:space="preserve">The </w:t>
      </w:r>
      <w:r w:rsidRPr="00D66216">
        <w:rPr>
          <w:b/>
          <w:bCs/>
        </w:rPr>
        <w:t>Chair</w:t>
      </w:r>
      <w:r w:rsidRPr="00D66216">
        <w:t xml:space="preserve"> explains the process, confidentiality, and introductions</w:t>
      </w:r>
    </w:p>
    <w:p w:rsidRPr="00D66216" w:rsidR="00D66216" w:rsidP="00D66216" w:rsidRDefault="00D66216" w14:paraId="7FBC0793" w14:textId="77777777">
      <w:pPr>
        <w:numPr>
          <w:ilvl w:val="0"/>
          <w:numId w:val="9"/>
        </w:numPr>
      </w:pPr>
      <w:r w:rsidRPr="00D66216">
        <w:t xml:space="preserve">You will have the opportunity to </w:t>
      </w:r>
      <w:r w:rsidRPr="00D66216">
        <w:rPr>
          <w:b/>
          <w:bCs/>
        </w:rPr>
        <w:t>respond</w:t>
      </w:r>
      <w:r w:rsidRPr="00D66216">
        <w:t>, submit evidence, and call witnesses</w:t>
      </w:r>
    </w:p>
    <w:p w:rsidRPr="00D66216" w:rsidR="00D66216" w:rsidP="00D66216" w:rsidRDefault="00D66216" w14:paraId="6B7B850A" w14:textId="77777777">
      <w:pPr>
        <w:numPr>
          <w:ilvl w:val="0"/>
          <w:numId w:val="9"/>
        </w:numPr>
      </w:pPr>
      <w:r w:rsidRPr="00D66216">
        <w:t>Panel members may ask questions</w:t>
      </w:r>
    </w:p>
    <w:p w:rsidRPr="00D66216" w:rsidR="00D66216" w:rsidP="00D66216" w:rsidRDefault="00D66216" w14:paraId="7CABCD89" w14:textId="77777777">
      <w:pPr>
        <w:numPr>
          <w:ilvl w:val="0"/>
          <w:numId w:val="9"/>
        </w:numPr>
      </w:pPr>
      <w:r w:rsidRPr="00D66216">
        <w:t>After discussions, the panel deliberates in private</w:t>
      </w:r>
    </w:p>
    <w:p w:rsidRPr="00D66216" w:rsidR="00D66216" w:rsidP="00D66216" w:rsidRDefault="00136572" w14:paraId="65F8F92D" w14:textId="77777777">
      <w:r>
        <w:pict w14:anchorId="5079CE02">
          <v:rect id="_x0000_i1035" style="width:0;height:1.5pt" o:hr="t" o:hrstd="t" o:hralign="center" fillcolor="#a0a0a0" stroked="f"/>
        </w:pict>
      </w:r>
    </w:p>
    <w:p w:rsidRPr="00D66216" w:rsidR="00D66216" w:rsidP="00D66216" w:rsidRDefault="00D66216" w14:paraId="1B7C2FA8" w14:textId="77777777">
      <w:pPr>
        <w:rPr>
          <w:b/>
          <w:bCs/>
        </w:rPr>
      </w:pPr>
      <w:r w:rsidRPr="00D66216">
        <w:rPr>
          <w:b/>
          <w:bCs/>
        </w:rPr>
        <w:t>Outcome</w:t>
      </w:r>
    </w:p>
    <w:p w:rsidRPr="00D66216" w:rsidR="00D66216" w:rsidP="00D66216" w:rsidRDefault="00D66216" w14:paraId="063D00A0" w14:textId="77777777">
      <w:pPr>
        <w:numPr>
          <w:ilvl w:val="0"/>
          <w:numId w:val="10"/>
        </w:numPr>
      </w:pPr>
      <w:r w:rsidRPr="00D66216">
        <w:t xml:space="preserve">Decision is based on the </w:t>
      </w:r>
      <w:r w:rsidRPr="00D66216">
        <w:rPr>
          <w:b/>
          <w:bCs/>
        </w:rPr>
        <w:t>balance of probabilities</w:t>
      </w:r>
    </w:p>
    <w:p w:rsidRPr="00D66216" w:rsidR="00D66216" w:rsidP="00D66216" w:rsidRDefault="00D66216" w14:paraId="6D4D9D44" w14:textId="77777777">
      <w:pPr>
        <w:numPr>
          <w:ilvl w:val="0"/>
          <w:numId w:val="10"/>
        </w:numPr>
      </w:pPr>
      <w:r w:rsidRPr="00D66216">
        <w:t xml:space="preserve">If a breach is found, sanctions may range from a warning to </w:t>
      </w:r>
      <w:r w:rsidRPr="00D66216">
        <w:rPr>
          <w:b/>
          <w:bCs/>
        </w:rPr>
        <w:t>suspension</w:t>
      </w:r>
      <w:r w:rsidRPr="00D66216">
        <w:t xml:space="preserve"> or </w:t>
      </w:r>
      <w:r w:rsidRPr="00D66216">
        <w:rPr>
          <w:b/>
          <w:bCs/>
        </w:rPr>
        <w:t>expulsion</w:t>
      </w:r>
    </w:p>
    <w:p w:rsidRPr="00D66216" w:rsidR="00D66216" w:rsidP="00D66216" w:rsidRDefault="00D66216" w14:paraId="55971ACF" w14:textId="77777777">
      <w:pPr>
        <w:numPr>
          <w:ilvl w:val="0"/>
          <w:numId w:val="10"/>
        </w:numPr>
      </w:pPr>
      <w:r w:rsidRPr="00D66216">
        <w:t xml:space="preserve">You will be notified of the outcome in writing within </w:t>
      </w:r>
      <w:r w:rsidRPr="00D66216">
        <w:rPr>
          <w:b/>
          <w:bCs/>
        </w:rPr>
        <w:t>5 working days</w:t>
      </w:r>
    </w:p>
    <w:p w:rsidRPr="00D66216" w:rsidR="00D66216" w:rsidP="00D66216" w:rsidRDefault="00136572" w14:paraId="20EC60A0" w14:textId="77777777">
      <w:r>
        <w:pict w14:anchorId="6BE11152">
          <v:rect id="_x0000_i1036" style="width:0;height:1.5pt" o:hr="t" o:hrstd="t" o:hralign="center" fillcolor="#a0a0a0" stroked="f"/>
        </w:pict>
      </w:r>
    </w:p>
    <w:p w:rsidRPr="00D66216" w:rsidR="00D66216" w:rsidP="00D66216" w:rsidRDefault="00D66216" w14:paraId="2743A368" w14:textId="77777777">
      <w:pPr>
        <w:rPr>
          <w:b/>
          <w:bCs/>
        </w:rPr>
      </w:pPr>
      <w:r w:rsidRPr="00D66216">
        <w:rPr>
          <w:b/>
          <w:bCs/>
        </w:rPr>
        <w:t>After the Hearing: Appeals Process</w:t>
      </w:r>
    </w:p>
    <w:p w:rsidRPr="00D66216" w:rsidR="00D66216" w:rsidP="00D66216" w:rsidRDefault="00D66216" w14:paraId="68E098FB" w14:textId="77777777">
      <w:r w:rsidRPr="00D66216">
        <w:t xml:space="preserve">You may </w:t>
      </w:r>
      <w:r w:rsidRPr="00D66216">
        <w:rPr>
          <w:b/>
          <w:bCs/>
        </w:rPr>
        <w:t>appeal</w:t>
      </w:r>
      <w:r w:rsidRPr="00D66216">
        <w:t xml:space="preserve"> the panel’s decision if:</w:t>
      </w:r>
    </w:p>
    <w:p w:rsidRPr="00D66216" w:rsidR="00D66216" w:rsidP="00D66216" w:rsidRDefault="00D66216" w14:paraId="0B59CAF9" w14:textId="77777777">
      <w:pPr>
        <w:numPr>
          <w:ilvl w:val="0"/>
          <w:numId w:val="11"/>
        </w:numPr>
      </w:pPr>
      <w:r w:rsidRPr="00D66216">
        <w:rPr>
          <w:b/>
          <w:bCs/>
        </w:rPr>
        <w:t>New evidence</w:t>
      </w:r>
      <w:r w:rsidRPr="00D66216">
        <w:t xml:space="preserve"> is available that wasn’t previously accessible</w:t>
      </w:r>
    </w:p>
    <w:p w:rsidRPr="00D66216" w:rsidR="00D66216" w:rsidP="00D66216" w:rsidRDefault="00D66216" w14:paraId="0ECC7A9E" w14:textId="77777777">
      <w:pPr>
        <w:numPr>
          <w:ilvl w:val="0"/>
          <w:numId w:val="11"/>
        </w:numPr>
      </w:pPr>
      <w:r w:rsidRPr="00D66216">
        <w:t xml:space="preserve">There were </w:t>
      </w:r>
      <w:r w:rsidRPr="00D66216">
        <w:rPr>
          <w:b/>
          <w:bCs/>
        </w:rPr>
        <w:t>procedural errors</w:t>
      </w:r>
    </w:p>
    <w:p w:rsidRPr="00D66216" w:rsidR="00D66216" w:rsidP="00D66216" w:rsidRDefault="00D66216" w14:paraId="5588AFCD" w14:textId="77777777">
      <w:pPr>
        <w:numPr>
          <w:ilvl w:val="0"/>
          <w:numId w:val="11"/>
        </w:numPr>
      </w:pPr>
      <w:r w:rsidRPr="00D66216">
        <w:t xml:space="preserve">You believe the </w:t>
      </w:r>
      <w:r w:rsidRPr="00D66216">
        <w:rPr>
          <w:b/>
          <w:bCs/>
        </w:rPr>
        <w:t>sanction was disproportionate</w:t>
      </w:r>
    </w:p>
    <w:p w:rsidRPr="00D66216" w:rsidR="00D66216" w:rsidP="00D66216" w:rsidRDefault="00D66216" w14:paraId="77CD3259" w14:textId="0227101A">
      <w:r w:rsidRPr="00D66216">
        <w:t xml:space="preserve">Appeals must be submitted </w:t>
      </w:r>
      <w:r w:rsidRPr="00D66216">
        <w:rPr>
          <w:b/>
          <w:bCs/>
        </w:rPr>
        <w:t>within 10 working days</w:t>
      </w:r>
      <w:r w:rsidRPr="00D66216">
        <w:t xml:space="preserve"> of receiving the outcome letter.</w:t>
      </w:r>
    </w:p>
    <w:p w:rsidRPr="00D66216" w:rsidR="00D66216" w:rsidP="00D66216" w:rsidRDefault="00D66216" w14:paraId="1611693C" w14:textId="77777777">
      <w:r w:rsidRPr="00D66216">
        <w:t xml:space="preserve">If your internal appeal is unsuccessful, you can escalate to the </w:t>
      </w:r>
      <w:r w:rsidRPr="00D66216">
        <w:rPr>
          <w:b/>
          <w:bCs/>
        </w:rPr>
        <w:t>Office of the Independent Adjudicator (OIA)</w:t>
      </w:r>
      <w:r w:rsidRPr="00D66216">
        <w:t xml:space="preserve"> within </w:t>
      </w:r>
      <w:r w:rsidRPr="00D66216">
        <w:rPr>
          <w:b/>
          <w:bCs/>
        </w:rPr>
        <w:t>12 months</w:t>
      </w:r>
      <w:r w:rsidRPr="00D66216">
        <w:t xml:space="preserve">. A </w:t>
      </w:r>
      <w:r w:rsidRPr="00D66216">
        <w:rPr>
          <w:b/>
          <w:bCs/>
        </w:rPr>
        <w:t>Completion of Procedures</w:t>
      </w:r>
      <w:r w:rsidRPr="00D66216">
        <w:t xml:space="preserve"> letter will be issued within 28 calendar days of the final decision.</w:t>
      </w:r>
    </w:p>
    <w:p w:rsidRPr="00D66216" w:rsidR="00D66216" w:rsidP="00D66216" w:rsidRDefault="00136572" w14:paraId="34FEE1AA" w14:textId="77777777">
      <w:r>
        <w:pict w14:anchorId="34625487">
          <v:rect id="_x0000_i1037" style="width:0;height:1.5pt" o:hr="t" o:hrstd="t" o:hralign="center" fillcolor="#a0a0a0" stroked="f"/>
        </w:pict>
      </w:r>
    </w:p>
    <w:p w:rsidRPr="00D66216" w:rsidR="00D66216" w:rsidP="00D66216" w:rsidRDefault="00D66216" w14:paraId="3123F972" w14:textId="77777777">
      <w:pPr>
        <w:rPr>
          <w:b/>
          <w:bCs/>
        </w:rPr>
      </w:pPr>
      <w:r w:rsidRPr="00D66216">
        <w:rPr>
          <w:b/>
          <w:bCs/>
        </w:rPr>
        <w:t>What if You Are Arrested?</w:t>
      </w:r>
    </w:p>
    <w:p w:rsidRPr="00D66216" w:rsidR="00D66216" w:rsidP="00D66216" w:rsidRDefault="00D66216" w14:paraId="4C255737" w14:textId="77777777">
      <w:r w:rsidRPr="00D66216">
        <w:t>Being arrested or contacted by the police can be overwhelming. The University is committed to supporting you while ensuring community safety.</w:t>
      </w:r>
    </w:p>
    <w:p w:rsidRPr="00D66216" w:rsidR="00D66216" w:rsidP="00D66216" w:rsidRDefault="00136572" w14:paraId="4F8FB9CA" w14:textId="77777777">
      <w:r>
        <w:pict w14:anchorId="3B517B83">
          <v:rect id="_x0000_i1038" style="width:0;height:1.5pt" o:hr="t" o:hrstd="t" o:hralign="center" fillcolor="#a0a0a0" stroked="f"/>
        </w:pict>
      </w:r>
    </w:p>
    <w:p w:rsidRPr="00D66216" w:rsidR="00D66216" w:rsidP="00D66216" w:rsidRDefault="00D66216" w14:paraId="57D747EF" w14:textId="77777777">
      <w:pPr>
        <w:rPr>
          <w:b/>
          <w:bCs/>
        </w:rPr>
      </w:pPr>
      <w:r w:rsidRPr="00D66216">
        <w:rPr>
          <w:b/>
          <w:bCs/>
        </w:rPr>
        <w:t>1. Initial Contact</w:t>
      </w:r>
    </w:p>
    <w:p w:rsidRPr="00D66216" w:rsidR="00D66216" w:rsidP="00D66216" w:rsidRDefault="00D66216" w14:paraId="78EF7596" w14:textId="77777777">
      <w:r w:rsidRPr="00D66216">
        <w:t>If the University is informed of your arrest:</w:t>
      </w:r>
    </w:p>
    <w:p w:rsidRPr="00D66216" w:rsidR="00D66216" w:rsidP="00D66216" w:rsidRDefault="00D66216" w14:paraId="157EEC90" w14:textId="77777777">
      <w:pPr>
        <w:numPr>
          <w:ilvl w:val="0"/>
          <w:numId w:val="12"/>
        </w:numPr>
      </w:pPr>
      <w:r w:rsidRPr="00D66216">
        <w:rPr>
          <w:b/>
          <w:bCs/>
        </w:rPr>
        <w:t>SSW</w:t>
      </w:r>
      <w:r w:rsidRPr="00D66216">
        <w:t xml:space="preserve"> will reach out to offer wellbeing and emotional support</w:t>
      </w:r>
    </w:p>
    <w:p w:rsidRPr="00D66216" w:rsidR="00D66216" w:rsidP="00D66216" w:rsidRDefault="00D66216" w14:paraId="41460789" w14:textId="77777777">
      <w:pPr>
        <w:numPr>
          <w:ilvl w:val="0"/>
          <w:numId w:val="12"/>
        </w:numPr>
      </w:pPr>
      <w:r w:rsidRPr="00D66216">
        <w:t>You'll receive advice on academic and pastoral resources</w:t>
      </w:r>
    </w:p>
    <w:p w:rsidRPr="00D66216" w:rsidR="00D66216" w:rsidP="00D66216" w:rsidRDefault="00136572" w14:paraId="369BE797" w14:textId="77777777">
      <w:r>
        <w:pict w14:anchorId="3FFC1A78">
          <v:rect id="_x0000_i1039" style="width:0;height:1.5pt" o:hr="t" o:hrstd="t" o:hralign="center" fillcolor="#a0a0a0" stroked="f"/>
        </w:pict>
      </w:r>
    </w:p>
    <w:p w:rsidRPr="00D66216" w:rsidR="00D66216" w:rsidP="00D66216" w:rsidRDefault="00D66216" w14:paraId="16105703" w14:textId="77777777">
      <w:pPr>
        <w:rPr>
          <w:b/>
          <w:bCs/>
        </w:rPr>
      </w:pPr>
      <w:r w:rsidRPr="00D66216">
        <w:rPr>
          <w:b/>
          <w:bCs/>
        </w:rPr>
        <w:t>2. Risk Assessment &amp; Precautionary Measures</w:t>
      </w:r>
    </w:p>
    <w:p w:rsidRPr="00D66216" w:rsidR="00D66216" w:rsidP="00D66216" w:rsidRDefault="00D66216" w14:paraId="0BE6C8B0" w14:textId="77777777">
      <w:r w:rsidRPr="00D66216">
        <w:t xml:space="preserve">A </w:t>
      </w:r>
      <w:r w:rsidRPr="00D66216">
        <w:rPr>
          <w:b/>
          <w:bCs/>
        </w:rPr>
        <w:t>Risk Assessment</w:t>
      </w:r>
      <w:r w:rsidRPr="00D66216">
        <w:t xml:space="preserve"> will be conducted by the Head of Student Conduct and Complaints (or nominee). Measures may include:</w:t>
      </w:r>
    </w:p>
    <w:p w:rsidRPr="00D66216" w:rsidR="00D66216" w:rsidP="00D66216" w:rsidRDefault="00D66216" w14:paraId="2FADBD10" w14:textId="77777777">
      <w:pPr>
        <w:numPr>
          <w:ilvl w:val="0"/>
          <w:numId w:val="13"/>
        </w:numPr>
      </w:pPr>
      <w:r w:rsidRPr="00D66216">
        <w:t>Changes to your accommodation</w:t>
      </w:r>
    </w:p>
    <w:p w:rsidRPr="00D66216" w:rsidR="00D66216" w:rsidP="00D66216" w:rsidRDefault="00D66216" w14:paraId="373AE056" w14:textId="77777777">
      <w:pPr>
        <w:numPr>
          <w:ilvl w:val="0"/>
          <w:numId w:val="13"/>
        </w:numPr>
      </w:pPr>
      <w:r w:rsidRPr="00D66216">
        <w:t>Temporary exclusion from specific areas or facilities</w:t>
      </w:r>
    </w:p>
    <w:p w:rsidRPr="00D66216" w:rsidR="00D66216" w:rsidP="00D66216" w:rsidRDefault="00D66216" w14:paraId="68BD0EB1" w14:textId="77777777">
      <w:pPr>
        <w:numPr>
          <w:ilvl w:val="0"/>
          <w:numId w:val="13"/>
        </w:numPr>
      </w:pPr>
      <w:r w:rsidRPr="00D66216">
        <w:t>Suspension (in serious cases)</w:t>
      </w:r>
    </w:p>
    <w:p w:rsidRPr="00D66216" w:rsidR="00D66216" w:rsidP="00D66216" w:rsidRDefault="00D66216" w14:paraId="37E99922" w14:textId="77777777">
      <w:r w:rsidRPr="00D66216">
        <w:t xml:space="preserve">These are not punishments but temporary </w:t>
      </w:r>
      <w:r w:rsidRPr="00D66216">
        <w:rPr>
          <w:b/>
          <w:bCs/>
        </w:rPr>
        <w:t>safety measures</w:t>
      </w:r>
      <w:r w:rsidRPr="00D66216">
        <w:t>, kept confidential wherever possible.</w:t>
      </w:r>
    </w:p>
    <w:p w:rsidRPr="00D66216" w:rsidR="00D66216" w:rsidP="00D66216" w:rsidRDefault="00136572" w14:paraId="17A4785C" w14:textId="77777777">
      <w:r>
        <w:pict w14:anchorId="45904B2E">
          <v:rect id="_x0000_i1040" style="width:0;height:1.5pt" o:hr="t" o:hrstd="t" o:hralign="center" fillcolor="#a0a0a0" stroked="f"/>
        </w:pict>
      </w:r>
    </w:p>
    <w:p w:rsidRPr="00D66216" w:rsidR="00D66216" w:rsidP="00D66216" w:rsidRDefault="00D66216" w14:paraId="1BAA0E15" w14:textId="77777777">
      <w:pPr>
        <w:rPr>
          <w:b/>
          <w:bCs/>
        </w:rPr>
      </w:pPr>
      <w:r w:rsidRPr="00D66216">
        <w:rPr>
          <w:b/>
          <w:bCs/>
        </w:rPr>
        <w:t>3. Academic Support</w:t>
      </w:r>
    </w:p>
    <w:p w:rsidRPr="00D66216" w:rsidR="00D66216" w:rsidP="00D66216" w:rsidRDefault="00D66216" w14:paraId="65EAF8FE" w14:textId="77777777">
      <w:r w:rsidRPr="00D66216">
        <w:t xml:space="preserve">The University aims to </w:t>
      </w:r>
      <w:r w:rsidRPr="00D66216">
        <w:rPr>
          <w:b/>
          <w:bCs/>
        </w:rPr>
        <w:t>support your studies</w:t>
      </w:r>
      <w:r w:rsidRPr="00D66216">
        <w:t xml:space="preserve"> during this time:</w:t>
      </w:r>
    </w:p>
    <w:p w:rsidRPr="00D66216" w:rsidR="00D66216" w:rsidP="00D66216" w:rsidRDefault="00D66216" w14:paraId="025F1F6A" w14:textId="77777777">
      <w:pPr>
        <w:numPr>
          <w:ilvl w:val="0"/>
          <w:numId w:val="14"/>
        </w:numPr>
      </w:pPr>
      <w:r w:rsidRPr="00D66216">
        <w:t xml:space="preserve">Submit </w:t>
      </w:r>
      <w:r w:rsidRPr="00D66216">
        <w:rPr>
          <w:b/>
          <w:bCs/>
        </w:rPr>
        <w:t>mitigating circumstances</w:t>
      </w:r>
      <w:r w:rsidRPr="00D66216">
        <w:t xml:space="preserve"> if assessments are affected</w:t>
      </w:r>
    </w:p>
    <w:p w:rsidRPr="00D66216" w:rsidR="00D66216" w:rsidP="00D66216" w:rsidRDefault="00D66216" w14:paraId="1644D1A5" w14:textId="77777777">
      <w:pPr>
        <w:numPr>
          <w:ilvl w:val="0"/>
          <w:numId w:val="14"/>
        </w:numPr>
      </w:pPr>
      <w:r w:rsidRPr="00D66216">
        <w:t xml:space="preserve">Discuss </w:t>
      </w:r>
      <w:r w:rsidRPr="00D66216">
        <w:rPr>
          <w:b/>
          <w:bCs/>
        </w:rPr>
        <w:t>academic planning</w:t>
      </w:r>
      <w:r w:rsidRPr="00D66216">
        <w:t xml:space="preserve"> to manage disruptions</w:t>
      </w:r>
    </w:p>
    <w:p w:rsidRPr="00D66216" w:rsidR="00D66216" w:rsidP="00D66216" w:rsidRDefault="00136572" w14:paraId="692B59E5" w14:textId="77777777">
      <w:r>
        <w:pict w14:anchorId="4BA0F888">
          <v:rect id="_x0000_i1041" style="width:0;height:1.5pt" o:hr="t" o:hrstd="t" o:hralign="center" fillcolor="#a0a0a0" stroked="f"/>
        </w:pict>
      </w:r>
    </w:p>
    <w:p w:rsidRPr="00D66216" w:rsidR="00D66216" w:rsidP="00D66216" w:rsidRDefault="00D66216" w14:paraId="3F248474" w14:textId="77777777">
      <w:pPr>
        <w:rPr>
          <w:b/>
          <w:bCs/>
        </w:rPr>
      </w:pPr>
      <w:r w:rsidRPr="00D66216">
        <w:rPr>
          <w:b/>
          <w:bCs/>
        </w:rPr>
        <w:t>4. University Disciplinary Action</w:t>
      </w:r>
    </w:p>
    <w:p w:rsidRPr="00D66216" w:rsidR="00D66216" w:rsidP="00D66216" w:rsidRDefault="00D66216" w14:paraId="76FA1CF2" w14:textId="77777777">
      <w:pPr>
        <w:numPr>
          <w:ilvl w:val="0"/>
          <w:numId w:val="15"/>
        </w:numPr>
      </w:pPr>
      <w:r w:rsidRPr="00D66216">
        <w:t>While a police investigation is ongoing, the University’s disciplinary process may be paused</w:t>
      </w:r>
    </w:p>
    <w:p w:rsidRPr="00D66216" w:rsidR="00D66216" w:rsidP="00D66216" w:rsidRDefault="00D66216" w14:paraId="743562B4" w14:textId="77777777">
      <w:pPr>
        <w:numPr>
          <w:ilvl w:val="0"/>
          <w:numId w:val="15"/>
        </w:numPr>
      </w:pPr>
      <w:r w:rsidRPr="00D66216">
        <w:t>Once legal proceedings conclude, the University may proceed with its own disciplinary investigation</w:t>
      </w:r>
    </w:p>
    <w:p w:rsidRPr="00D66216" w:rsidR="00D66216" w:rsidP="00D66216" w:rsidRDefault="00D66216" w14:paraId="3F1877B8" w14:textId="77777777">
      <w:pPr>
        <w:numPr>
          <w:ilvl w:val="0"/>
          <w:numId w:val="15"/>
        </w:numPr>
      </w:pPr>
      <w:r w:rsidRPr="00D66216">
        <w:t>Outcomes may consider but are not determined by the legal outcome</w:t>
      </w:r>
    </w:p>
    <w:p w:rsidRPr="00D66216" w:rsidR="00D66216" w:rsidP="00D66216" w:rsidRDefault="00136572" w14:paraId="28B5B014" w14:textId="77777777">
      <w:r>
        <w:pict w14:anchorId="796B448E">
          <v:rect id="_x0000_i1042" style="width:0;height:1.5pt" o:hr="t" o:hrstd="t" o:hralign="center" fillcolor="#a0a0a0" stroked="f"/>
        </w:pict>
      </w:r>
    </w:p>
    <w:p w:rsidRPr="00D66216" w:rsidR="00D66216" w:rsidP="00D66216" w:rsidRDefault="00D66216" w14:paraId="5D30A7C3" w14:textId="77777777">
      <w:pPr>
        <w:rPr>
          <w:b/>
          <w:bCs/>
        </w:rPr>
      </w:pPr>
      <w:r w:rsidRPr="00D66216">
        <w:rPr>
          <w:b/>
          <w:bCs/>
        </w:rPr>
        <w:t>5. Ongoing Support</w:t>
      </w:r>
    </w:p>
    <w:p w:rsidRPr="00D66216" w:rsidR="00D66216" w:rsidP="00D66216" w:rsidRDefault="00D66216" w14:paraId="2EA0BC08" w14:textId="77777777">
      <w:r w:rsidRPr="00D66216">
        <w:t>You can access the following throughout the process:</w:t>
      </w:r>
    </w:p>
    <w:p w:rsidRPr="00D66216" w:rsidR="00D66216" w:rsidP="00D66216" w:rsidRDefault="00D66216" w14:paraId="675A50BA" w14:textId="77777777">
      <w:pPr>
        <w:numPr>
          <w:ilvl w:val="0"/>
          <w:numId w:val="16"/>
        </w:numPr>
      </w:pPr>
      <w:r w:rsidRPr="00D66216">
        <w:rPr>
          <w:b/>
          <w:bCs/>
        </w:rPr>
        <w:t>Student Support and Wellbeing (SSW)</w:t>
      </w:r>
    </w:p>
    <w:p w:rsidRPr="00D66216" w:rsidR="00D66216" w:rsidP="00D66216" w:rsidRDefault="00D66216" w14:paraId="0ED7D6E6" w14:textId="77777777">
      <w:pPr>
        <w:numPr>
          <w:ilvl w:val="0"/>
          <w:numId w:val="16"/>
        </w:numPr>
      </w:pPr>
      <w:r w:rsidRPr="00D66216">
        <w:rPr>
          <w:b/>
          <w:bCs/>
        </w:rPr>
        <w:t>Academic Advisors</w:t>
      </w:r>
    </w:p>
    <w:p w:rsidRPr="00D66216" w:rsidR="00D66216" w:rsidP="00D66216" w:rsidRDefault="00D66216" w14:paraId="095BFB8B" w14:textId="77777777">
      <w:pPr>
        <w:numPr>
          <w:ilvl w:val="0"/>
          <w:numId w:val="16"/>
        </w:numPr>
      </w:pPr>
      <w:r w:rsidRPr="00D66216">
        <w:rPr>
          <w:b/>
          <w:bCs/>
        </w:rPr>
        <w:t>Kent Union Advice Centre</w:t>
      </w:r>
    </w:p>
    <w:p w:rsidRPr="00D66216" w:rsidR="00D66216" w:rsidP="00D66216" w:rsidRDefault="00D66216" w14:paraId="28CDA9A3" w14:textId="77777777">
      <w:r w:rsidRPr="00D66216">
        <w:t xml:space="preserve">If you're struggling, </w:t>
      </w:r>
      <w:r w:rsidRPr="00D66216">
        <w:rPr>
          <w:b/>
          <w:bCs/>
        </w:rPr>
        <w:t>please reach out</w:t>
      </w:r>
      <w:r w:rsidRPr="00D66216">
        <w:t>—help is available.</w:t>
      </w:r>
    </w:p>
    <w:p w:rsidR="0053495D" w:rsidRDefault="0053495D" w14:paraId="674F41B1" w14:textId="77777777"/>
    <w:sectPr w:rsidR="0053495D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6E12" w:rsidP="00CA6E12" w:rsidRDefault="00CA6E12" w14:paraId="59DB582A" w14:textId="77777777">
      <w:pPr>
        <w:spacing w:after="0" w:line="240" w:lineRule="auto"/>
      </w:pPr>
      <w:r>
        <w:separator/>
      </w:r>
    </w:p>
  </w:endnote>
  <w:endnote w:type="continuationSeparator" w:id="0">
    <w:p w:rsidR="00CA6E12" w:rsidP="00CA6E12" w:rsidRDefault="00CA6E12" w14:paraId="5385FF4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6E12" w:rsidP="00CA6E12" w:rsidRDefault="00CA6E12" w14:paraId="3A65141A" w14:textId="77777777">
      <w:pPr>
        <w:spacing w:after="0" w:line="240" w:lineRule="auto"/>
      </w:pPr>
      <w:r>
        <w:separator/>
      </w:r>
    </w:p>
  </w:footnote>
  <w:footnote w:type="continuationSeparator" w:id="0">
    <w:p w:rsidR="00CA6E12" w:rsidP="00CA6E12" w:rsidRDefault="00CA6E12" w14:paraId="6A337C8A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67C43"/>
    <w:multiLevelType w:val="multilevel"/>
    <w:tmpl w:val="D4626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8BF019B"/>
    <w:multiLevelType w:val="multilevel"/>
    <w:tmpl w:val="6932F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9D11166"/>
    <w:multiLevelType w:val="multilevel"/>
    <w:tmpl w:val="40323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B705050"/>
    <w:multiLevelType w:val="multilevel"/>
    <w:tmpl w:val="A9C43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F412579"/>
    <w:multiLevelType w:val="multilevel"/>
    <w:tmpl w:val="B1C0A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206E640C"/>
    <w:multiLevelType w:val="multilevel"/>
    <w:tmpl w:val="FF167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23A473FA"/>
    <w:multiLevelType w:val="multilevel"/>
    <w:tmpl w:val="267CA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362F6E8B"/>
    <w:multiLevelType w:val="multilevel"/>
    <w:tmpl w:val="4258A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45E36250"/>
    <w:multiLevelType w:val="multilevel"/>
    <w:tmpl w:val="C07AC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4BA06EB2"/>
    <w:multiLevelType w:val="multilevel"/>
    <w:tmpl w:val="0270C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518F12A4"/>
    <w:multiLevelType w:val="multilevel"/>
    <w:tmpl w:val="A29CB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68F433E3"/>
    <w:multiLevelType w:val="multilevel"/>
    <w:tmpl w:val="8522F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72613B3B"/>
    <w:multiLevelType w:val="multilevel"/>
    <w:tmpl w:val="FC82A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767E0966"/>
    <w:multiLevelType w:val="multilevel"/>
    <w:tmpl w:val="7C2C0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7702491F"/>
    <w:multiLevelType w:val="multilevel"/>
    <w:tmpl w:val="D6783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7A944F62"/>
    <w:multiLevelType w:val="multilevel"/>
    <w:tmpl w:val="41D4F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2086687820">
    <w:abstractNumId w:val="4"/>
  </w:num>
  <w:num w:numId="2" w16cid:durableId="11153228">
    <w:abstractNumId w:val="5"/>
  </w:num>
  <w:num w:numId="3" w16cid:durableId="581258828">
    <w:abstractNumId w:val="6"/>
  </w:num>
  <w:num w:numId="4" w16cid:durableId="536891523">
    <w:abstractNumId w:val="13"/>
  </w:num>
  <w:num w:numId="5" w16cid:durableId="2029334244">
    <w:abstractNumId w:val="12"/>
  </w:num>
  <w:num w:numId="6" w16cid:durableId="235096167">
    <w:abstractNumId w:val="2"/>
  </w:num>
  <w:num w:numId="7" w16cid:durableId="1331837136">
    <w:abstractNumId w:val="9"/>
  </w:num>
  <w:num w:numId="8" w16cid:durableId="1151092224">
    <w:abstractNumId w:val="10"/>
  </w:num>
  <w:num w:numId="9" w16cid:durableId="1875116310">
    <w:abstractNumId w:val="7"/>
  </w:num>
  <w:num w:numId="10" w16cid:durableId="949509902">
    <w:abstractNumId w:val="8"/>
  </w:num>
  <w:num w:numId="11" w16cid:durableId="1060053684">
    <w:abstractNumId w:val="11"/>
  </w:num>
  <w:num w:numId="12" w16cid:durableId="713627589">
    <w:abstractNumId w:val="3"/>
  </w:num>
  <w:num w:numId="13" w16cid:durableId="926033803">
    <w:abstractNumId w:val="1"/>
  </w:num>
  <w:num w:numId="14" w16cid:durableId="1389718034">
    <w:abstractNumId w:val="14"/>
  </w:num>
  <w:num w:numId="15" w16cid:durableId="1930001392">
    <w:abstractNumId w:val="15"/>
  </w:num>
  <w:num w:numId="16" w16cid:durableId="1010258503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216"/>
    <w:rsid w:val="00056304"/>
    <w:rsid w:val="000B5A36"/>
    <w:rsid w:val="00136572"/>
    <w:rsid w:val="0053495D"/>
    <w:rsid w:val="00561148"/>
    <w:rsid w:val="00655837"/>
    <w:rsid w:val="0075429A"/>
    <w:rsid w:val="00CA6E12"/>
    <w:rsid w:val="00D66216"/>
    <w:rsid w:val="028A24D3"/>
    <w:rsid w:val="2C465FA1"/>
    <w:rsid w:val="34DD3113"/>
    <w:rsid w:val="39289496"/>
    <w:rsid w:val="3FDA9BDC"/>
    <w:rsid w:val="57D5D983"/>
    <w:rsid w:val="5B693618"/>
    <w:rsid w:val="6EBAE97A"/>
    <w:rsid w:val="7360133C"/>
    <w:rsid w:val="759E7982"/>
    <w:rsid w:val="7A66F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E5EC957"/>
  <w15:chartTrackingRefBased/>
  <w15:docId w15:val="{BEF3872B-D4C2-43FF-8AFF-DD3A366365E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621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621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62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62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62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62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62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62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62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6621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6621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6621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6621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6621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6621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6621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6621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662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621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6621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62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662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621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662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62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62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621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662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621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6621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621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A6E1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A6E12"/>
  </w:style>
  <w:style w:type="paragraph" w:styleId="Footer">
    <w:name w:val="footer"/>
    <w:basedOn w:val="Normal"/>
    <w:link w:val="FooterChar"/>
    <w:uiPriority w:val="99"/>
    <w:unhideWhenUsed/>
    <w:rsid w:val="00CA6E1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A6E12"/>
  </w:style>
  <w:style w:type="character" w:styleId="CommentReference">
    <w:name w:val="annotation reference"/>
    <w:basedOn w:val="DefaultParagraphFont"/>
    <w:uiPriority w:val="99"/>
    <w:semiHidden/>
    <w:unhideWhenUsed/>
    <w:rsid w:val="00CA6E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6E1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CA6E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6E1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A6E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3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4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093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3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2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2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11/relationships/commentsExtended" Target="commentsExtended.xml" Id="rId8" /><Relationship Type="http://schemas.microsoft.com/office/2011/relationships/people" Target="people.xml" Id="rId13" /><Relationship Type="http://schemas.openxmlformats.org/officeDocument/2006/relationships/settings" Target="settings.xml" Id="rId3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yperlink" Target="https://kentunion.co.uk/advice" TargetMode="External" Id="rId11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microsoft.com/office/2016/09/relationships/commentsIds" Target="commentsId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University of Kent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Alison Mansell</dc:creator>
  <keywords/>
  <dc:description/>
  <lastModifiedBy>Becky Wyatt</lastModifiedBy>
  <revision>7</revision>
  <dcterms:created xsi:type="dcterms:W3CDTF">2025-09-19T13:49:00.0000000Z</dcterms:created>
  <dcterms:modified xsi:type="dcterms:W3CDTF">2025-10-03T21:56:07.9008954Z</dcterms:modified>
</coreProperties>
</file>